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Бессимптомная миома матки: когда наблюдать и когда обсуждать вмешательство</w:t>
      </w:r>
    </w:p>
    <w:p>
      <w:pPr>
        <w:pStyle w:val="BodyText"/>
      </w:pPr>
      <w:r>
        <w:rPr>
          <w:b/>
          <w:bCs/>
        </w:rPr>
        <w:t xml:space="preserve">Информация актуальна на</w:t>
      </w:r>
      <w:r>
        <w:t xml:space="preserve">: 06.10.2026</w:t>
      </w:r>
      <w:r>
        <w:br/>
      </w:r>
      <w:r>
        <w:rPr>
          <w:b/>
          <w:bCs/>
        </w:rPr>
        <w:t xml:space="preserve">Источников отобрано</w:t>
      </w:r>
      <w:r>
        <w:t xml:space="preserve">: 27 из 1168 рассмотренных</w:t>
      </w:r>
      <w:r>
        <w:br/>
      </w:r>
      <w:r>
        <w:rPr>
          <w:b/>
          <w:bCs/>
        </w:rPr>
        <w:t xml:space="preserve">Охват источников</w:t>
      </w:r>
      <w:r>
        <w:t xml:space="preserve">: международная PubMed-индексированная литература, клинические рекомендации Минздрава России и источники вне PubMed.</w:t>
      </w:r>
    </w:p>
    <w:p>
      <w:pPr>
        <w:pStyle w:val="Heading1"/>
        <w:keepNext/>
      </w:pPr>
      <w:r>
        <w:t xml:space="preserve">Ключевые выводы</w:t>
      </w:r>
    </w:p>
    <w:p>
      <w:pPr>
        <w:pStyle w:val="Keep"/>
        <w:keepNext/>
      </w:pPr>
      <w:r>
        <w:rPr>
          <w:b/>
          <w:bCs/>
        </w:rPr>
        <w:t xml:space="preserve">Главное</w:t>
      </w:r>
    </w:p>
    <w:p>
      <w:pPr>
        <w:pStyle w:val="BodyText"/>
      </w:pPr>
      <w:r>
        <w:t xml:space="preserve">Российские и международные клинические рекомендации предлагают при бессимптомной миоме наблюдение, а не профилактическое лечение. Польза профилактического вмешательства по сравнению с наблюдением не установлена. При планировании беременности рекомендации допускают удаление узла, деформирующего полость матки, а о пользе операции при интрамуральных узлах без деформации полости данные расходятся.</w:t>
      </w:r>
    </w:p>
    <w:p>
      <w:pPr>
        <w:pStyle w:val="BodyText"/>
      </w:pPr>
      <w:r>
        <w:t xml:space="preserve">Канадское руководство SOGC 2025 года (рекомендации № 461) считает, что большинству бессимптомных пациенток вмешательство не требуется </w:t>
      </w:r>
      <w:hyperlink r:id="rId101" w:history="1">
        <w:r>
          <w:rPr>
            <w:rStyle w:val="Hyperlink"/>
            <w:color w:val="B6322D"/>
            <w:u w:val="none"/>
            <w:vertAlign w:val="superscript"/>
          </w:rPr>
          <w:t xml:space="preserve">1</w:t>
        </w:r>
      </w:hyperlink>
      <w:r>
        <w:t xml:space="preserve">. Клинические рекомендации «Миома матки» 2024 года (Минздрав России, РОАГ) предусматривают динамическое наблюдение с комплексным УЗИ, если нет кровотечений, боли и роста узлов, матка не больше 12 недель беременности и нет субмукозных узлов. Медикаментозного и хирургического лечения в этой ситуации документ не предусматривает; положение имеет УУР C, УДД 5 </w:t>
      </w:r>
      <w:hyperlink r:id="rId102" w:history="1">
        <w:r>
          <w:rPr>
            <w:rStyle w:val="Hyperlink"/>
            <w:color w:val="B6322D"/>
            <w:u w:val="none"/>
            <w:vertAlign w:val="superscript"/>
          </w:rPr>
          <w:t xml:space="preserve">18</w:t>
        </w:r>
      </w:hyperlink>
      <w:r>
        <w:t xml:space="preserve">.</w:t>
      </w:r>
    </w:p>
    <w:p>
      <w:pPr>
        <w:pStyle w:val="BodyText"/>
      </w:pPr>
      <w:r>
        <w:t xml:space="preserve">Руководство Американского общества репродуктивной медицины (ASRM) 2017 года, основанное на систематическом обзоре, допускает миомэктомию при бессимптомных узлах, деформирующих полость матки, и обычно не советует её женщинам с бесплодием и узлами без деформации полости </w:t>
      </w:r>
      <w:hyperlink r:id="rId103" w:history="1">
        <w:r>
          <w:rPr>
            <w:rStyle w:val="Hyperlink"/>
            <w:color w:val="B6322D"/>
            <w:u w:val="none"/>
            <w:vertAlign w:val="superscript"/>
          </w:rPr>
          <w:t xml:space="preserve">9</w:t>
        </w:r>
      </w:hyperlink>
      <w:r>
        <w:t xml:space="preserve">. Рандомизированная основа узкая: в Кокрейновском обзоре операцию с отсутствием вмешательства сравнивало одно РКИ, и живорождение в нём не оценивали </w:t>
      </w:r>
      <w:hyperlink r:id="rId104" w:history="1">
        <w:r>
          <w:rPr>
            <w:rStyle w:val="Hyperlink"/>
            <w:color w:val="B6322D"/>
            <w:u w:val="none"/>
            <w:vertAlign w:val="superscript"/>
          </w:rPr>
          <w:t xml:space="preserve">11</w:t>
        </w:r>
      </w:hyperlink>
      <w:r>
        <w:t xml:space="preserve">.</w:t>
      </w:r>
    </w:p>
    <w:p>
      <w:pPr>
        <w:pStyle w:val="BodyText"/>
      </w:pPr>
      <w:r>
        <w:t xml:space="preserve">Для интрамуральных узлов два метаанализа нерандомизированных данных расходятся. Метаанализ в Obstetrics and Gynecology 2024 года не показал преимущества удаления узла по частоте клинической беременности (ОШ 1,10, 95% ДИ 0,77–1,59) </w:t>
      </w:r>
      <w:hyperlink r:id="rId105" w:history="1">
        <w:r>
          <w:rPr>
            <w:rStyle w:val="Hyperlink"/>
            <w:color w:val="B6322D"/>
            <w:u w:val="none"/>
            <w:vertAlign w:val="superscript"/>
          </w:rPr>
          <w:t xml:space="preserve">12</w:t>
        </w:r>
      </w:hyperlink>
      <w:r>
        <w:t xml:space="preserve">. Более новый метаанализ семи нерандомизированных исследований с 1644 женщинами связал миомэктомию перед ЭКО или интрацитоплазматической инъекцией сперматозоида (ИКСИ) с большей частотой продолжающейся беременности или живорождения (относительный риск 1,64, 95% ДИ 1,15–2,33) </w:t>
      </w:r>
      <w:hyperlink r:id="rId106" w:history="1">
        <w:r>
          <w:rPr>
            <w:rStyle w:val="Hyperlink"/>
            <w:color w:val="B6322D"/>
            <w:u w:val="none"/>
            <w:vertAlign w:val="superscript"/>
          </w:rPr>
          <w:t xml:space="preserve">13</w:t>
        </w:r>
      </w:hyperlink>
      <w:r>
        <w:t xml:space="preserve">. Работы различаются популяцией и исходом.</w:t>
      </w:r>
    </w:p>
    <w:p>
      <w:pPr>
        <w:pStyle w:val="Keep"/>
        <w:keepNext/>
      </w:pPr>
      <w:r>
        <w:rPr>
          <w:b/>
          <w:bCs/>
        </w:rPr>
        <w:t xml:space="preserve">Что доказано</w:t>
      </w:r>
    </w:p>
    <w:p>
      <w:pPr>
        <w:pStyle w:val="Compact"/>
        <w:numPr>
          <w:ilvl w:val="0"/>
          <w:numId w:val="1"/>
        </w:numPr>
      </w:pPr>
      <w:r>
        <w:t xml:space="preserve">Миома может спонтанно уменьшаться ещё до менопаузы. В проспективной МРТ-когорте из 72 женщин с 262 узлами 7% узлов уменьшились более чем на 20%, а медианный прирост объёма составил 9% за шесть месяцев. Работа подтверждает возможность регресса, но не оценивает вероятность обойтись без лечения у любой бессимптомной пациентки </w:t>
      </w:r>
      <w:hyperlink r:id="rId107" w:history="1">
        <w:r>
          <w:rPr>
            <w:rStyle w:val="Hyperlink"/>
            <w:color w:val="B6322D"/>
            <w:u w:val="none"/>
            <w:vertAlign w:val="superscript"/>
          </w:rPr>
          <w:t xml:space="preserve">3</w:t>
        </w:r>
      </w:hyperlink>
      <w:r>
        <w:t xml:space="preserve">.</w:t>
      </w:r>
    </w:p>
    <w:p>
      <w:pPr>
        <w:pStyle w:val="Compact"/>
        <w:numPr>
          <w:ilvl w:val="0"/>
          <w:numId w:val="1"/>
        </w:numPr>
      </w:pPr>
      <w:r>
        <w:t xml:space="preserve">Очень маленькие узлы меняются быстро. В проспективной УЗИ-когорте молодых афроамериканок узлы &lt;1 см увеличивались в объёме в среднем на 188% за 18 месяцев, 95% ДИ 145–238%, но оценённая частота их исчезновения при УЗИ составила 23%. Исходом было изменение узла на снимке, а не появление симптомов </w:t>
      </w:r>
      <w:hyperlink r:id="rId108" w:history="1">
        <w:r>
          <w:rPr>
            <w:rStyle w:val="Hyperlink"/>
            <w:color w:val="B6322D"/>
            <w:u w:val="none"/>
            <w:vertAlign w:val="superscript"/>
          </w:rPr>
          <w:t xml:space="preserve">4</w:t>
        </w:r>
      </w:hyperlink>
      <w:r>
        <w:t xml:space="preserve">.</w:t>
      </w:r>
    </w:p>
    <w:p>
      <w:pPr>
        <w:pStyle w:val="Keep"/>
        <w:keepNext/>
      </w:pPr>
      <w:r>
        <w:rPr>
          <w:b/>
          <w:bCs/>
        </w:rPr>
        <w:t xml:space="preserve">Где доказательства слабые</w:t>
      </w:r>
    </w:p>
    <w:p>
      <w:pPr>
        <w:pStyle w:val="Compact"/>
        <w:numPr>
          <w:ilvl w:val="0"/>
          <w:numId w:val="2"/>
        </w:numPr>
      </w:pPr>
      <w:r>
        <w:t xml:space="preserve">Не установлено, предотвращают ли профилактические миомэктомия, ЭМА, абляция или гистерэктомия будущие симптомы у бессимптомных женщин без планов беременности. Канадское руководство 2025 года посвящено преимущественно симптомной миоме </w:t>
      </w:r>
      <w:hyperlink r:id="rId101" w:history="1">
        <w:r>
          <w:rPr>
            <w:rStyle w:val="Hyperlink"/>
            <w:color w:val="B6322D"/>
            <w:u w:val="none"/>
            <w:vertAlign w:val="superscript"/>
          </w:rPr>
          <w:t xml:space="preserve">1</w:t>
        </w:r>
      </w:hyperlink>
      <w:r>
        <w:t xml:space="preserve">. Российские КР сравнения профилактического вмешательства с наблюдением не приводят </w:t>
      </w:r>
      <w:hyperlink r:id="rId102" w:history="1">
        <w:r>
          <w:rPr>
            <w:rStyle w:val="Hyperlink"/>
            <w:color w:val="B6322D"/>
            <w:u w:val="none"/>
            <w:vertAlign w:val="superscript"/>
          </w:rPr>
          <w:t xml:space="preserve">18</w:t>
        </w:r>
      </w:hyperlink>
      <w:r>
        <w:t xml:space="preserve">.</w:t>
      </w:r>
    </w:p>
    <w:p>
      <w:pPr>
        <w:pStyle w:val="Compact"/>
        <w:numPr>
          <w:ilvl w:val="0"/>
          <w:numId w:val="2"/>
        </w:numPr>
      </w:pPr>
      <w:r>
        <w:t xml:space="preserve">Вероятность последующих симптомов и обоснованный календарь наблюдения не определены. Самая прямо применимая когорта включала всего 64 исходно бессимптомные женщины, наблюдавшиеся 2,5 года </w:t>
      </w:r>
      <w:hyperlink r:id="rId109" w:history="1">
        <w:r>
          <w:rPr>
            <w:rStyle w:val="Hyperlink"/>
            <w:color w:val="B6322D"/>
            <w:u w:val="none"/>
            <w:vertAlign w:val="superscript"/>
          </w:rPr>
          <w:t xml:space="preserve">2</w:t>
        </w:r>
      </w:hyperlink>
      <w:r>
        <w:t xml:space="preserve">. Российские КР не задают интервалы и длительность наблюдения </w:t>
      </w:r>
      <w:hyperlink r:id="rId102" w:history="1">
        <w:r>
          <w:rPr>
            <w:rStyle w:val="Hyperlink"/>
            <w:color w:val="B6322D"/>
            <w:u w:val="none"/>
            <w:vertAlign w:val="superscript"/>
          </w:rPr>
          <w:t xml:space="preserve">18</w:t>
        </w:r>
      </w:hyperlink>
      <w:r>
        <w:t xml:space="preserve">.</w:t>
      </w:r>
    </w:p>
    <w:p>
      <w:pPr>
        <w:pStyle w:val="Compact"/>
        <w:numPr>
          <w:ilvl w:val="0"/>
          <w:numId w:val="2"/>
        </w:numPr>
      </w:pPr>
      <w:r>
        <w:t xml:space="preserve">Рандомизированные данные не доказывают убедительно репродуктивную пользу миомэктомии. В единственном РКИ Кокрейновского обзора, сравнившем операцию с отсутствием вмешательства, ОШ клинической беременности для субмукозных узлов составило 2,04, 95% ДИ 0,62–6,66, n=52; авторы оценили достоверность как очень низкую </w:t>
      </w:r>
      <w:hyperlink r:id="rId104" w:history="1">
        <w:r>
          <w:rPr>
            <w:rStyle w:val="Hyperlink"/>
            <w:color w:val="B6322D"/>
            <w:u w:val="none"/>
            <w:vertAlign w:val="superscript"/>
          </w:rPr>
          <w:t xml:space="preserve">11</w:t>
        </w:r>
      </w:hyperlink>
      <w:r>
        <w:t xml:space="preserve">. Позиция ASRM о росте частоты клинической беременности после гистероскопического удаления имеет категорию B и опирается преимущественно на наблюдательные данные; доказательств увеличения живорождения и снижения ранних потерь документ считает недостаточными </w:t>
      </w:r>
      <w:hyperlink r:id="rId103" w:history="1">
        <w:r>
          <w:rPr>
            <w:rStyle w:val="Hyperlink"/>
            <w:color w:val="B6322D"/>
            <w:u w:val="none"/>
            <w:vertAlign w:val="superscript"/>
          </w:rPr>
          <w:t xml:space="preserve">9</w:t>
        </w:r>
      </w:hyperlink>
      <w:r>
        <w:t xml:space="preserve">.</w:t>
      </w:r>
    </w:p>
    <w:p>
      <w:pPr>
        <w:pStyle w:val="Compact"/>
        <w:numPr>
          <w:ilvl w:val="0"/>
          <w:numId w:val="2"/>
        </w:numPr>
      </w:pPr>
      <w:r>
        <w:t xml:space="preserve">Связь миомэктомии с лучшими исходами ЭКО получена только в нерандомизированных исследованиях, которые по-разному классифицировали узлы и представляли исходы </w:t>
      </w:r>
      <w:hyperlink r:id="rId106" w:history="1">
        <w:r>
          <w:rPr>
            <w:rStyle w:val="Hyperlink"/>
            <w:color w:val="B6322D"/>
            <w:u w:val="none"/>
            <w:vertAlign w:val="superscript"/>
          </w:rPr>
          <w:t xml:space="preserve">13</w:t>
        </w:r>
      </w:hyperlink>
      <w:r>
        <w:t xml:space="preserve">. При интрамуральных узлах ≤6 см без деформации полости шансы живорождения при ЭКО ниже, чем без миомы: ОШ 0,48, 95% ДИ 0,36–0,65, три исследования, низкая достоверность. Это сравнение с женщинами без миомы, а не доказательство пользы операции </w:t>
      </w:r>
      <w:hyperlink r:id="rId110" w:history="1">
        <w:r>
          <w:rPr>
            <w:rStyle w:val="Hyperlink"/>
            <w:color w:val="B6322D"/>
            <w:u w:val="none"/>
            <w:vertAlign w:val="superscript"/>
          </w:rPr>
          <w:t xml:space="preserve">14</w:t>
        </w:r>
      </w:hyperlink>
      <w:r>
        <w:t xml:space="preserve">.</w:t>
      </w:r>
    </w:p>
    <w:p>
      <w:pPr>
        <w:pStyle w:val="Keep"/>
        <w:keepNext/>
      </w:pPr>
      <w:r>
        <w:rPr>
          <w:b/>
          <w:bCs/>
        </w:rPr>
        <w:t xml:space="preserve">Безопасность и ограничения применимости</w:t>
      </w:r>
    </w:p>
    <w:p>
      <w:pPr>
        <w:pStyle w:val="Compact"/>
        <w:numPr>
          <w:ilvl w:val="0"/>
          <w:numId w:val="3"/>
        </w:numPr>
      </w:pPr>
      <w:r>
        <w:t xml:space="preserve">Отрицательная МРТ не исключает саркому. В метаанализе 12 ретроспективных исследований подозрительных образований чувствительность МРТ составила 84,2%, 95% ДИ 76,3–89,9%, специфичность 89,1%, 95% ДИ 78,1–94,9%, при неоднородности I² 66,3% и 95,8%. Эти оценки получены не при скрининге неотобранных бессимптомных женщин </w:t>
      </w:r>
      <w:hyperlink r:id="rId111" w:history="1">
        <w:r>
          <w:rPr>
            <w:rStyle w:val="Hyperlink"/>
            <w:color w:val="B6322D"/>
            <w:u w:val="none"/>
            <w:vertAlign w:val="superscript"/>
          </w:rPr>
          <w:t xml:space="preserve">20</w:t>
        </w:r>
      </w:hyperlink>
      <w:r>
        <w:t xml:space="preserve">.</w:t>
      </w:r>
    </w:p>
    <w:p>
      <w:pPr>
        <w:pStyle w:val="Compact"/>
        <w:numPr>
          <w:ilvl w:val="0"/>
          <w:numId w:val="3"/>
        </w:numPr>
      </w:pPr>
      <w:r>
        <w:t xml:space="preserve">Оценки частоты нераспознанной лейомиосаркомы относятся к оперированным женщинам и расходятся между собой. Байесовский метаанализ дал 0,51 случая на 1000 операций, а в проспективных исследованиях 0,12 на 1000 </w:t>
      </w:r>
      <w:hyperlink r:id="rId112" w:history="1">
        <w:r>
          <w:rPr>
            <w:rStyle w:val="Hyperlink"/>
            <w:color w:val="B6322D"/>
            <w:u w:val="none"/>
            <w:vertAlign w:val="superscript"/>
          </w:rPr>
          <w:t xml:space="preserve">8</w:t>
        </w:r>
      </w:hyperlink>
      <w:r>
        <w:t xml:space="preserve">. Российские КР приводят 1 случай на 400 операций, или 0,25% </w:t>
      </w:r>
      <w:hyperlink r:id="rId102" w:history="1">
        <w:r>
          <w:rPr>
            <w:rStyle w:val="Hyperlink"/>
            <w:color w:val="B6322D"/>
            <w:u w:val="none"/>
            <w:vertAlign w:val="superscript"/>
          </w:rPr>
          <w:t xml:space="preserve">18</w:t>
        </w:r>
      </w:hyperlink>
      <w:r>
        <w:t xml:space="preserve">. Ни одна из этих оценок не описывает индивидуальный риск при наблюдении случайной находки.</w:t>
      </w:r>
    </w:p>
    <w:p>
      <w:pPr>
        <w:pStyle w:val="Compact"/>
        <w:numPr>
          <w:ilvl w:val="0"/>
          <w:numId w:val="3"/>
        </w:numPr>
      </w:pPr>
      <w:r>
        <w:t xml:space="preserve">Морцелляция может распространить нераспознанную злокачественную опухоль и доброкачественную ткань, а отказ от неё в пользу абдоминальной операции повышает риск тромбоэмболических осложнений, трансфузии, повреждения кишечника, лихорадки и раневой инфекции. Комитет ACOG считает, что подозрительная визуализация исключает морцелляцию, а исследование эндометрия не выявляет лейомиосаркому надёжно </w:t>
      </w:r>
      <w:hyperlink r:id="rId113" w:history="1">
        <w:r>
          <w:rPr>
            <w:rStyle w:val="Hyperlink"/>
            <w:color w:val="B6322D"/>
            <w:u w:val="none"/>
            <w:vertAlign w:val="superscript"/>
          </w:rPr>
          <w:t xml:space="preserve">7</w:t>
        </w:r>
      </w:hyperlink>
      <w:r>
        <w:t xml:space="preserve">.</w:t>
      </w:r>
    </w:p>
    <w:p>
      <w:pPr>
        <w:pStyle w:val="Compact"/>
        <w:numPr>
          <w:ilvl w:val="0"/>
          <w:numId w:val="3"/>
        </w:numPr>
      </w:pPr>
      <w:r>
        <w:t xml:space="preserve">После миомэктомии возникают внутриматочные спайки. В систематическом обзоре 2437 случаев их средняя частота составила 9,4% после гистероскопии, 12,8% после лапароскопической или роботической операции и 18,3% после лапаротомии. Сравнение доступов нерандомизированное и неоднородное, поэтому причинного преимущества одного доступа оно не показывает </w:t>
      </w:r>
      <w:hyperlink r:id="rId114" w:history="1">
        <w:r>
          <w:rPr>
            <w:rStyle w:val="Hyperlink"/>
            <w:color w:val="B6322D"/>
            <w:u w:val="none"/>
            <w:vertAlign w:val="superscript"/>
          </w:rPr>
          <w:t xml:space="preserve">16</w:t>
        </w:r>
      </w:hyperlink>
      <w:r>
        <w:t xml:space="preserve">.</w:t>
      </w:r>
    </w:p>
    <w:p>
      <w:pPr>
        <w:pStyle w:val="Keep"/>
        <w:keepNext/>
      </w:pPr>
      <w:r>
        <w:rPr>
          <w:b/>
          <w:bCs/>
        </w:rPr>
        <w:t xml:space="preserve">Открытые вопросы</w:t>
      </w:r>
    </w:p>
    <w:p>
      <w:pPr>
        <w:pStyle w:val="Compact"/>
        <w:numPr>
          <w:ilvl w:val="0"/>
          <w:numId w:val="4"/>
        </w:numPr>
      </w:pPr>
      <w:r>
        <w:t xml:space="preserve">Нет проспективной когорты исходно бессимптомных женщин с единым протоколом УЗИ, которая прослеживала бы через менопаузальный переход новые кровотечения, боль, сдавление органов и последующее лечение, а не только размеры узлов.</w:t>
      </w:r>
    </w:p>
    <w:p>
      <w:pPr>
        <w:pStyle w:val="Compact"/>
        <w:numPr>
          <w:ilvl w:val="0"/>
          <w:numId w:val="4"/>
        </w:numPr>
      </w:pPr>
      <w:r>
        <w:t xml:space="preserve">Нет сравнительного исследования профилактической операции и наблюдения у женщин без репродуктивных планов с разделением по размеру, локализации и возрасту и с исходами за длительный срок: симптомы, качество жизни, осложнения, повторные вмешательства.</w:t>
      </w:r>
    </w:p>
    <w:p>
      <w:pPr>
        <w:pStyle w:val="Compact"/>
        <w:numPr>
          <w:ilvl w:val="0"/>
          <w:numId w:val="4"/>
        </w:numPr>
      </w:pPr>
      <w:r>
        <w:t xml:space="preserve">Нет отдельных рандомизированных сравнений миомэктомии с наблюдением при интрамуральных узлах без деформации полости, ни перед ЭКО, ни при попытках естественного зачатия, с кумулятивным живорождением в качестве основного исхода.</w:t>
      </w:r>
    </w:p>
    <w:p>
      <w:pPr>
        <w:pStyle w:val="Compact"/>
        <w:numPr>
          <w:ilvl w:val="0"/>
          <w:numId w:val="4"/>
        </w:numPr>
      </w:pPr>
      <w:r>
        <w:t xml:space="preserve">Нет проспективной многоцентровой проверки сочетания клинических признаков, экспертного УЗИ и стандартизированной МРТ у последовательных, а не специально отобранных пациенток с длительным наблюдением неоперированных образований.</w:t>
      </w:r>
    </w:p>
    <w:p>
      <w:pPr>
        <w:pStyle w:val="Heading1"/>
        <w:keepNext/>
      </w:pPr>
      <w:r>
        <w:t xml:space="preserve">Как составлен обзор</w:t>
      </w:r>
    </w:p>
    <w:p>
      <w:pPr>
        <w:pStyle w:val="FirstParagraph"/>
      </w:pPr>
      <w:r>
        <w:t xml:space="preserve">Мы искали данные о естественном течении случайно выявленной бессимптомной миомы, сравнении наблюдения с профилактическим вмешательством, влиянии миомы и её удаления на репродуктивные исходы, а также о диагностическом различении миомы и саркомы. Разделили тему на эти четыре направления. Искали в PubMed без ограничений по году и типу исследования; исключили описания случаев, письма и редакционные статьи. При отборе отделяли исходно бессимптомных женщин от симптомных хирургических популяций, изменение размеров от клинических исходов и сравнение операции с наблюдением от сравнения хирургических доступов. Вне PubMed учли документы профессиональных обществ и обзор American Family Physician. Проверили рубрикатор Минздрава России и включили клинические рекомендации «Миома матки» 2024 года. Прямые сравнительные данные о профилактическом лечении бессимптомной миомы оказались существенно беднее литературы о лечении симптомного заболевания.</w:t>
      </w:r>
    </w:p>
    <w:p>
      <w:pPr>
        <w:pStyle w:val="Heading1"/>
        <w:keepNext/>
      </w:pPr>
      <w:r>
        <w:t xml:space="preserve">Не вошло в основной список, но учтено</w:t>
      </w:r>
    </w:p>
    <w:p>
      <w:pPr>
        <w:pStyle w:val="Compact"/>
        <w:numPr>
          <w:ilvl w:val="0"/>
          <w:numId w:val="5"/>
        </w:numPr>
      </w:pPr>
      <w:hyperlink r:id="rId115" w:history="1">
        <w:r>
          <w:rPr>
            <w:rStyle w:val="Hyperlink"/>
          </w:rPr>
          <w:t xml:space="preserve">18375184</w:t>
        </w:r>
      </w:hyperlink>
      <w:r>
        <w:t xml:space="preserve">: Asymptomatic uterine fibroids. Устаревший повествовательный обзор формулирует гипотезу раннего лечения, но не содержит прямого сравнения вмешательства с наблюдением. Современные рекомендации лучше отражают исходную тактику, поэтому теоретическое обоснование не использовано как доказательство профилактической пользы.</w:t>
      </w:r>
    </w:p>
    <w:p>
      <w:pPr>
        <w:pStyle w:val="Compact"/>
        <w:numPr>
          <w:ilvl w:val="0"/>
          <w:numId w:val="5"/>
        </w:numPr>
      </w:pPr>
      <w:hyperlink r:id="rId116" w:history="1">
        <w:r>
          <w:rPr>
            <w:rStyle w:val="Hyperlink"/>
          </w:rPr>
          <w:t xml:space="preserve">20069541</w:t>
        </w:r>
      </w:hyperlink>
      <w:r>
        <w:t xml:space="preserve">: The natural history of fibroids. Ретроспективная клиническая когорта повторяет данные о росте узлов, но не устанавливает бессимптомность и не оценивает последующие симптомы или лечение. Для динамики оставлены более прямо применимая бессимптомная когорта и проспективные исследования.</w:t>
      </w:r>
    </w:p>
    <w:p>
      <w:pPr>
        <w:pStyle w:val="Compact"/>
        <w:numPr>
          <w:ilvl w:val="0"/>
          <w:numId w:val="5"/>
        </w:numPr>
      </w:pPr>
      <w:hyperlink r:id="rId117" w:history="1">
        <w:r>
          <w:rPr>
            <w:rStyle w:val="Hyperlink"/>
          </w:rPr>
          <w:t xml:space="preserve">31077869</w:t>
        </w:r>
      </w:hyperlink>
      <w:r>
        <w:t xml:space="preserve">: Effects of myomas and myomectomy on assisted reproductive technology outcomes. Небольшое ретроспективное исследование смешивает ЭКО и внутриматочную инсеминацию, а решение об удалении зависело от деформации полости. Его неопределённые результаты по живорождению не добавляют убедительности к систематическим обзорам и прямому рандомизированному сравнению.</w:t>
      </w:r>
    </w:p>
    <w:p>
      <w:pPr>
        <w:pStyle w:val="Compact"/>
        <w:numPr>
          <w:ilvl w:val="0"/>
          <w:numId w:val="5"/>
        </w:numPr>
      </w:pPr>
      <w:hyperlink r:id="rId118" w:history="1">
        <w:r>
          <w:rPr>
            <w:rStyle w:val="Hyperlink"/>
          </w:rPr>
          <w:t xml:space="preserve">25765878</w:t>
        </w:r>
      </w:hyperlink>
      <w:r>
        <w:t xml:space="preserve">: Age-stratified risk of unexpected uterine sarcoma following surgery for presumed benign leiomyoma. Возрастные оценки риска преимущественно модельные, а исход объединяет лейомиосаркому и другие саркомы. Для количественной оценки нераспознанной лейомиосаркомы оставлен более широкий метаанализ; возрастные клинические признаки рассмотрены отдельно без переноса модельного риска на случайную находку.</w:t>
      </w:r>
    </w:p>
    <w:p>
      <w:pPr>
        <w:pStyle w:val="Heading1"/>
        <w:keepNext/>
      </w:pPr>
      <w:r>
        <w:t xml:space="preserve">Направление 1. Естественное течение и наблюдение при случайно выявленной миоме</w:t>
      </w:r>
    </w:p>
    <w:p>
      <w:pPr>
        <w:pStyle w:val="Keep"/>
        <w:keepNext/>
      </w:pPr>
      <w:r>
        <w:rPr>
          <w:i/>
          <w:iCs/>
        </w:rPr>
        <w:t xml:space="preserve">Из 400 найденных статей отобрано 6.</w:t>
      </w:r>
    </w:p>
    <w:p>
      <w:pPr>
        <w:pStyle w:val="BodyText"/>
      </w:pPr>
      <w:r>
        <w:t xml:space="preserve">Современные рекомендации предлагают наблюдение, но прогноз последующих симптомов изучен хуже, чем изменение размеров узлов. Наиболее прямо применима небольшая проспективная когорта исходно бессимптомных женщин; она показывает, что увеличение миомы не обязательно сопровождается симптомами </w:t>
      </w:r>
      <w:hyperlink r:id="rId109" w:history="1">
        <w:r>
          <w:rPr>
            <w:rStyle w:val="Hyperlink"/>
            <w:color w:val="B6322D"/>
            <w:u w:val="none"/>
            <w:vertAlign w:val="superscript"/>
          </w:rPr>
          <w:t xml:space="preserve">2</w:t>
        </w:r>
      </w:hyperlink>
      <w:r>
        <w:t xml:space="preserve">. Более крупные проспективные исследования лучше описывают динамику объёма, однако отсутствие ранее установленного диагноза не равнозначно отсутствию симптомов </w:t>
      </w:r>
      <w:hyperlink r:id="rId108" w:history="1">
        <w:r>
          <w:rPr>
            <w:rStyle w:val="Hyperlink"/>
            <w:color w:val="B6322D"/>
            <w:u w:val="none"/>
            <w:vertAlign w:val="superscript"/>
          </w:rPr>
          <w:t xml:space="preserve">4</w:t>
        </w:r>
      </w:hyperlink>
      <w:r>
        <w:t xml:space="preserve">. Результаты по влиянию исходного размера расходятся: в МРТ-когорте размер не предсказывал рост </w:t>
      </w:r>
      <w:hyperlink r:id="rId107" w:history="1">
        <w:r>
          <w:rPr>
            <w:rStyle w:val="Hyperlink"/>
            <w:color w:val="B6322D"/>
            <w:u w:val="none"/>
            <w:vertAlign w:val="superscript"/>
          </w:rPr>
          <w:t xml:space="preserve">3</w:t>
        </w:r>
      </w:hyperlink>
      <w:r>
        <w:t xml:space="preserve">, а в молодой популяционной когорте самые маленькие узлы одновременно быстрее росли и чаще переставали определяться при УЗИ </w:t>
      </w:r>
      <w:hyperlink r:id="rId108" w:history="1">
        <w:r>
          <w:rPr>
            <w:rStyle w:val="Hyperlink"/>
            <w:color w:val="B6322D"/>
            <w:u w:val="none"/>
            <w:vertAlign w:val="superscript"/>
          </w:rPr>
          <w:t xml:space="preserve">4</w:t>
        </w:r>
      </w:hyperlink>
      <w:r>
        <w:t xml:space="preserve">. Универсального прогноза потребности в операции эти показатели не дают.</w:t>
      </w:r>
    </w:p>
    <w:p>
      <w:pPr>
        <w:pStyle w:val="BodyText"/>
      </w:pPr>
      <w:r>
        <w:t xml:space="preserve">Практическая схема в российских рекомендациях включает комплексное трансвагинальное и трансабдоминальное УЗИ для первичной оценки и динамического наблюдения. Наблюдение без медикаментозного или хирургического лечения они рекомендуют при отсутствии аномальных маточных кровотечений, боли и роста узлов, размере матки до 12 недель беременности и отсутствии субмукозных узлов. Обе рекомендации имеют уровень убедительности рекомендаций C и уровень достоверности доказательств 5; интервалы и общая продолжительность наблюдения не заданы </w:t>
      </w:r>
      <w:hyperlink r:id="rId102" w:history="1">
        <w:r>
          <w:rPr>
            <w:rStyle w:val="Hyperlink"/>
            <w:color w:val="B6322D"/>
            <w:u w:val="none"/>
            <w:vertAlign w:val="superscript"/>
          </w:rPr>
          <w:t xml:space="preserve">18</w:t>
        </w:r>
      </w:hyperlink>
      <w:r>
        <w:t xml:space="preserve">. Доказанного календаря УЗИ эти документы не дают. Краткий обзор доказательств American Family Physician 2025 года также поддерживает выжидательную тактику при отсутствии беспокоящих симптомов, но оценивает её как экспертную рекомендацию категории C </w:t>
      </w:r>
      <w:hyperlink r:id="rId119" w:history="1">
        <w:r>
          <w:rPr>
            <w:rStyle w:val="Hyperlink"/>
            <w:color w:val="B6322D"/>
            <w:u w:val="none"/>
            <w:vertAlign w:val="superscript"/>
          </w:rPr>
          <w:t xml:space="preserve">6</w:t>
        </w:r>
      </w:hyperlink>
      <w:r>
        <w:t xml:space="preserve">.</w:t>
      </w:r>
    </w:p>
    <w:p>
      <w:pPr>
        <w:pStyle w:val="BodyText"/>
      </w:pPr>
      <w:r>
        <w:t xml:space="preserve">По этому обзору, в перименопаузе симптомы обычно уменьшаются, и у таких женщин он поддерживает выжидательную тактику </w:t>
      </w:r>
      <w:hyperlink r:id="rId119" w:history="1">
        <w:r>
          <w:rPr>
            <w:rStyle w:val="Hyperlink"/>
            <w:color w:val="B6322D"/>
            <w:u w:val="none"/>
            <w:vertAlign w:val="superscript"/>
          </w:rPr>
          <w:t xml:space="preserve">6</w:t>
        </w:r>
      </w:hyperlink>
      <w:r>
        <w:t xml:space="preserve">. Уменьшение каждого узла после менопаузы при этом не гарантировано: в хирургически отобранной постменопаузальной когорте доброкачественные миомы продолжали расти </w:t>
      </w:r>
      <w:hyperlink r:id="rId120" w:history="1">
        <w:r>
          <w:rPr>
            <w:rStyle w:val="Hyperlink"/>
            <w:color w:val="B6322D"/>
            <w:u w:val="none"/>
            <w:vertAlign w:val="superscript"/>
          </w:rPr>
          <w:t xml:space="preserve">5</w:t>
        </w:r>
      </w:hyperlink>
      <w:r>
        <w:t xml:space="preserve">. Кровотечения с анемией, боль, сдавление соседних органов и быстрый рост узлов российские рекомендации перечисляют среди показаний к оперативному лечению </w:t>
      </w:r>
      <w:hyperlink r:id="rId102" w:history="1">
        <w:r>
          <w:rPr>
            <w:rStyle w:val="Hyperlink"/>
            <w:color w:val="B6322D"/>
            <w:u w:val="none"/>
            <w:vertAlign w:val="superscript"/>
          </w:rPr>
          <w:t xml:space="preserve">18</w:t>
        </w:r>
      </w:hyperlink>
      <w:r>
        <w:t xml:space="preserve">.</w:t>
      </w:r>
    </w:p>
    <w:tbl>
      <w:tblPr>
        <w:tblStyle w:val="Table"/>
        <w:tblW w:w="9270" w:type="dxa"/>
        <w:tblLayout w:type="fixed"/>
        <w:tblLook w:firstRow="1" w:lastRow="0" w:firstColumn="0" w:lastColumn="0" w:noHBand="0" w:noVBand="0" w:val="0020"/>
      </w:tblPr>
      <w:tblGrid>
        <w:gridCol w:w="420"/>
        <w:gridCol w:w="3330"/>
        <w:gridCol w:w="1080"/>
        <w:gridCol w:w="2000"/>
        <w:gridCol w:w="680"/>
        <w:gridCol w:w="580"/>
        <w:gridCol w:w="1180"/>
      </w:tblGrid>
      <w:tr>
        <w:trPr>
          <w:cantSplit/>
          <w:tblHeader w:val="on"/>
        </w:trPr>
        <w:tc>
          <w:tcPr>
            <w:tcW w:w="420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#</w:t>
            </w:r>
          </w:p>
        </w:tc>
        <w:tc>
          <w:tcPr>
            <w:tcW w:w="3330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Статья</w:t>
            </w:r>
          </w:p>
        </w:tc>
        <w:tc>
          <w:tcPr>
            <w:tcW w:w="1080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PMID</w:t>
            </w:r>
          </w:p>
        </w:tc>
        <w:tc>
          <w:tcPr>
            <w:tcW w:w="2000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Журнал</w:t>
            </w:r>
          </w:p>
        </w:tc>
        <w:tc>
          <w:tcPr>
            <w:tcW w:w="680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Год</w:t>
            </w:r>
          </w:p>
        </w:tc>
        <w:tc>
          <w:tcPr>
            <w:tcW w:w="580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Цит.</w:t>
            </w:r>
          </w:p>
        </w:tc>
        <w:tc>
          <w:tcPr>
            <w:tcW w:w="1180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Доступ</w:t>
            </w:r>
          </w:p>
        </w:tc>
      </w:tr>
      <w:tr>
        <w:trPr>
          <w:cantSplit/>
        </w:trPr>
        <w:tc>
          <w:tcPr>
            <w:tcW w:w="420" w:type="dxa"/>
          </w:tcPr>
          <w:p>
            <w:pPr>
              <w:pStyle w:val="Compact"/>
            </w:pPr>
            <w:r>
              <w:t xml:space="preserve">1</w:t>
            </w:r>
          </w:p>
        </w:tc>
        <w:tc>
          <w:tcPr>
            <w:tcW w:w="3330" w:type="dxa"/>
          </w:tcPr>
          <w:p>
            <w:pPr>
              <w:pStyle w:val="Compact"/>
            </w:pPr>
            <w:r>
              <w:t xml:space="preserve">Рекомендации № 461: ведение пациенток с миомой матки</w:t>
            </w:r>
          </w:p>
        </w:tc>
        <w:tc>
          <w:tcPr>
            <w:tcW w:w="1080" w:type="dxa"/>
          </w:tcPr>
          <w:p>
            <w:pPr>
              <w:pStyle w:val="Compact"/>
            </w:pPr>
            <w:hyperlink r:id="rId121" w:history="1">
              <w:r>
                <w:rPr>
                  <w:rStyle w:val="Hyperlink"/>
                </w:rPr>
                <w:t xml:space="preserve">40562356</w:t>
              </w:r>
            </w:hyperlink>
          </w:p>
        </w:tc>
        <w:tc>
          <w:tcPr>
            <w:tcW w:w="2000" w:type="dxa"/>
          </w:tcPr>
          <w:p>
            <w:pPr>
              <w:pStyle w:val="Compact"/>
            </w:pPr>
            <w:r>
              <w:t xml:space="preserve">Journal of Obstetrics and Gynaecology Canada : JOGC = Journal D'obstetrique Et Gynecologie Du Canada : JOGC</w:t>
            </w:r>
          </w:p>
        </w:tc>
        <w:tc>
          <w:tcPr>
            <w:tcW w:w="680" w:type="dxa"/>
          </w:tcPr>
          <w:p>
            <w:pPr>
              <w:pStyle w:val="Compact"/>
            </w:pPr>
            <w:r>
              <w:t xml:space="preserve">2025</w:t>
            </w:r>
          </w:p>
        </w:tc>
        <w:tc>
          <w:tcPr>
            <w:tcW w:w="580" w:type="dxa"/>
          </w:tcPr>
          <w:p>
            <w:pPr>
              <w:pStyle w:val="Compact"/>
            </w:pPr>
            <w:r>
              <w:t xml:space="preserve">11</w:t>
            </w:r>
          </w:p>
        </w:tc>
        <w:tc>
          <w:tcPr>
            <w:tcW w:w="1180" w:type="dxa"/>
          </w:tcPr>
          <w:p>
            <w:pPr>
              <w:pStyle w:val="Compact"/>
            </w:pPr>
            <w:r>
              <w:t xml:space="preserve">Закрытая</w:t>
            </w:r>
          </w:p>
        </w:tc>
      </w:tr>
      <w:tr>
        <w:trPr>
          <w:cantSplit/>
        </w:trPr>
        <w:tc>
          <w:tcPr>
            <w:tcW w:w="420" w:type="dxa"/>
          </w:tcPr>
          <w:p>
            <w:pPr>
              <w:pStyle w:val="Compact"/>
            </w:pPr>
            <w:r>
              <w:t xml:space="preserve">2</w:t>
            </w:r>
          </w:p>
        </w:tc>
        <w:tc>
          <w:tcPr>
            <w:tcW w:w="3330" w:type="dxa"/>
          </w:tcPr>
          <w:p>
            <w:pPr>
              <w:pStyle w:val="Compact"/>
            </w:pPr>
            <w:r>
              <w:t xml:space="preserve">Естественное течение полипов и лейомиом матки</w:t>
            </w:r>
          </w:p>
        </w:tc>
        <w:tc>
          <w:tcPr>
            <w:tcW w:w="1080" w:type="dxa"/>
          </w:tcPr>
          <w:p>
            <w:pPr>
              <w:pStyle w:val="Compact"/>
            </w:pPr>
            <w:hyperlink r:id="rId122" w:history="1">
              <w:r>
                <w:rPr>
                  <w:rStyle w:val="Hyperlink"/>
                </w:rPr>
                <w:t xml:space="preserve">12100797</w:t>
              </w:r>
            </w:hyperlink>
          </w:p>
        </w:tc>
        <w:tc>
          <w:tcPr>
            <w:tcW w:w="2000" w:type="dxa"/>
          </w:tcPr>
          <w:p>
            <w:pPr>
              <w:pStyle w:val="Compact"/>
            </w:pPr>
            <w:r>
              <w:t xml:space="preserve">Obstetrics and Gynecology</w:t>
            </w:r>
          </w:p>
        </w:tc>
        <w:tc>
          <w:tcPr>
            <w:tcW w:w="680" w:type="dxa"/>
          </w:tcPr>
          <w:p>
            <w:pPr>
              <w:pStyle w:val="Compact"/>
            </w:pPr>
            <w:r>
              <w:t xml:space="preserve">2002</w:t>
            </w:r>
          </w:p>
        </w:tc>
        <w:tc>
          <w:tcPr>
            <w:tcW w:w="580" w:type="dxa"/>
          </w:tcPr>
          <w:p>
            <w:pPr>
              <w:pStyle w:val="Compact"/>
            </w:pPr>
            <w:r>
              <w:t xml:space="preserve">245</w:t>
            </w:r>
          </w:p>
        </w:tc>
        <w:tc>
          <w:tcPr>
            <w:tcW w:w="1180" w:type="dxa"/>
          </w:tcPr>
          <w:p>
            <w:pPr>
              <w:pStyle w:val="Compact"/>
            </w:pPr>
            <w:r>
              <w:t xml:space="preserve">Закрытая</w:t>
            </w:r>
          </w:p>
        </w:tc>
      </w:tr>
      <w:tr>
        <w:trPr>
          <w:cantSplit/>
        </w:trPr>
        <w:tc>
          <w:tcPr>
            <w:tcW w:w="420" w:type="dxa"/>
          </w:tcPr>
          <w:p>
            <w:pPr>
              <w:pStyle w:val="Compact"/>
            </w:pPr>
            <w:r>
              <w:t xml:space="preserve">3</w:t>
            </w:r>
          </w:p>
        </w:tc>
        <w:tc>
          <w:tcPr>
            <w:tcW w:w="3330" w:type="dxa"/>
          </w:tcPr>
          <w:p>
            <w:pPr>
              <w:pStyle w:val="Compact"/>
            </w:pPr>
            <w:r>
              <w:t xml:space="preserve">Рост лейомиом матки у чернокожих и белых женщин в пременопаузе</w:t>
            </w:r>
          </w:p>
        </w:tc>
        <w:tc>
          <w:tcPr>
            <w:tcW w:w="1080" w:type="dxa"/>
          </w:tcPr>
          <w:p>
            <w:pPr>
              <w:pStyle w:val="Compact"/>
            </w:pPr>
            <w:hyperlink r:id="rId123" w:history="1">
              <w:r>
                <w:rPr>
                  <w:rStyle w:val="Hyperlink"/>
                </w:rPr>
                <w:t xml:space="preserve">19047643</w:t>
              </w:r>
            </w:hyperlink>
          </w:p>
        </w:tc>
        <w:tc>
          <w:tcPr>
            <w:tcW w:w="2000" w:type="dxa"/>
          </w:tcPr>
          <w:p>
            <w:pPr>
              <w:pStyle w:val="Compact"/>
            </w:pPr>
            <w:r>
              <w:t xml:space="preserve">Proceedings of the National Academy of Sciences of the United States of America</w:t>
            </w:r>
          </w:p>
        </w:tc>
        <w:tc>
          <w:tcPr>
            <w:tcW w:w="680" w:type="dxa"/>
          </w:tcPr>
          <w:p>
            <w:pPr>
              <w:pStyle w:val="Compact"/>
            </w:pPr>
            <w:r>
              <w:t xml:space="preserve">2008</w:t>
            </w:r>
          </w:p>
        </w:tc>
        <w:tc>
          <w:tcPr>
            <w:tcW w:w="580" w:type="dxa"/>
          </w:tcPr>
          <w:p>
            <w:pPr>
              <w:pStyle w:val="Compact"/>
            </w:pPr>
            <w:r>
              <w:t xml:space="preserve">365</w:t>
            </w:r>
          </w:p>
        </w:tc>
        <w:tc>
          <w:tcPr>
            <w:tcW w:w="1180" w:type="dxa"/>
          </w:tcPr>
          <w:p>
            <w:pPr>
              <w:pStyle w:val="Compact"/>
            </w:pPr>
            <w:r>
              <w:t xml:space="preserve">Открытая</w:t>
            </w:r>
          </w:p>
        </w:tc>
      </w:tr>
      <w:tr>
        <w:trPr>
          <w:cantSplit/>
        </w:trPr>
        <w:tc>
          <w:tcPr>
            <w:tcW w:w="420" w:type="dxa"/>
          </w:tcPr>
          <w:p>
            <w:pPr>
              <w:pStyle w:val="Compact"/>
            </w:pPr>
            <w:r>
              <w:t xml:space="preserve">4</w:t>
            </w:r>
          </w:p>
        </w:tc>
        <w:tc>
          <w:tcPr>
            <w:tcW w:w="3330" w:type="dxa"/>
          </w:tcPr>
          <w:p>
            <w:pPr>
              <w:pStyle w:val="Compact"/>
            </w:pPr>
            <w:r>
              <w:t xml:space="preserve">Возникновение и рост миом матки в проспективном исследовании молодых афроамериканок с ультразвуковым наблюдением</w:t>
            </w:r>
          </w:p>
        </w:tc>
        <w:tc>
          <w:tcPr>
            <w:tcW w:w="1080" w:type="dxa"/>
          </w:tcPr>
          <w:p>
            <w:pPr>
              <w:pStyle w:val="Compact"/>
            </w:pPr>
            <w:hyperlink r:id="rId124" w:history="1">
              <w:r>
                <w:rPr>
                  <w:rStyle w:val="Hyperlink"/>
                </w:rPr>
                <w:t xml:space="preserve">32105679</w:t>
              </w:r>
            </w:hyperlink>
          </w:p>
        </w:tc>
        <w:tc>
          <w:tcPr>
            <w:tcW w:w="2000" w:type="dxa"/>
          </w:tcPr>
          <w:p>
            <w:pPr>
              <w:pStyle w:val="Compact"/>
            </w:pPr>
            <w:r>
              <w:t xml:space="preserve">American Journal of Obstetrics and Gynecology</w:t>
            </w:r>
          </w:p>
        </w:tc>
        <w:tc>
          <w:tcPr>
            <w:tcW w:w="680" w:type="dxa"/>
          </w:tcPr>
          <w:p>
            <w:pPr>
              <w:pStyle w:val="Compact"/>
            </w:pPr>
            <w:r>
              <w:t xml:space="preserve">2020</w:t>
            </w:r>
          </w:p>
        </w:tc>
        <w:tc>
          <w:tcPr>
            <w:tcW w:w="580" w:type="dxa"/>
          </w:tcPr>
          <w:p>
            <w:pPr>
              <w:pStyle w:val="Compact"/>
            </w:pPr>
            <w:r>
              <w:t xml:space="preserve">86</w:t>
            </w:r>
          </w:p>
        </w:tc>
        <w:tc>
          <w:tcPr>
            <w:tcW w:w="1180" w:type="dxa"/>
          </w:tcPr>
          <w:p>
            <w:pPr>
              <w:pStyle w:val="Compact"/>
            </w:pPr>
            <w:r>
              <w:t xml:space="preserve">Открытая</w:t>
            </w:r>
          </w:p>
        </w:tc>
      </w:tr>
      <w:tr>
        <w:trPr>
          <w:cantSplit/>
        </w:trPr>
        <w:tc>
          <w:tcPr>
            <w:tcW w:w="420" w:type="dxa"/>
          </w:tcPr>
          <w:p>
            <w:pPr>
              <w:pStyle w:val="Compact"/>
            </w:pPr>
            <w:r>
              <w:t xml:space="preserve">5</w:t>
            </w:r>
          </w:p>
        </w:tc>
        <w:tc>
          <w:tcPr>
            <w:tcW w:w="3330" w:type="dxa"/>
          </w:tcPr>
          <w:p>
            <w:pPr>
              <w:pStyle w:val="Compact"/>
            </w:pPr>
            <w:r>
              <w:t xml:space="preserve">Рост хирургически подтверждённых лейомиом у женщин в постменопаузе: анализ влияющих факторов</w:t>
            </w:r>
          </w:p>
        </w:tc>
        <w:tc>
          <w:tcPr>
            <w:tcW w:w="1080" w:type="dxa"/>
          </w:tcPr>
          <w:p>
            <w:pPr>
              <w:pStyle w:val="Compact"/>
            </w:pPr>
            <w:hyperlink r:id="rId125" w:history="1">
              <w:r>
                <w:rPr>
                  <w:rStyle w:val="Hyperlink"/>
                </w:rPr>
                <w:t xml:space="preserve">34469931</w:t>
              </w:r>
            </w:hyperlink>
          </w:p>
        </w:tc>
        <w:tc>
          <w:tcPr>
            <w:tcW w:w="2000" w:type="dxa"/>
          </w:tcPr>
          <w:p>
            <w:pPr>
              <w:pStyle w:val="Compact"/>
            </w:pPr>
            <w:r>
              <w:t xml:space="preserve">Menopause (New York, N.Y.)</w:t>
            </w:r>
          </w:p>
        </w:tc>
        <w:tc>
          <w:tcPr>
            <w:tcW w:w="680" w:type="dxa"/>
          </w:tcPr>
          <w:p>
            <w:pPr>
              <w:pStyle w:val="Compact"/>
            </w:pPr>
            <w:r>
              <w:t xml:space="preserve">2021</w:t>
            </w:r>
          </w:p>
        </w:tc>
        <w:tc>
          <w:tcPr>
            <w:tcW w:w="580" w:type="dxa"/>
          </w:tcPr>
          <w:p>
            <w:pPr>
              <w:pStyle w:val="Compact"/>
            </w:pPr>
            <w:r>
              <w:t xml:space="preserve">11</w:t>
            </w:r>
          </w:p>
        </w:tc>
        <w:tc>
          <w:tcPr>
            <w:tcW w:w="1180" w:type="dxa"/>
          </w:tcPr>
          <w:p>
            <w:pPr>
              <w:pStyle w:val="Compact"/>
            </w:pPr>
            <w:r>
              <w:t xml:space="preserve">Закрытая</w:t>
            </w:r>
          </w:p>
        </w:tc>
      </w:tr>
      <w:tr>
        <w:trPr>
          <w:cantSplit/>
        </w:trPr>
        <w:tc>
          <w:tcPr>
            <w:tcW w:w="420" w:type="dxa"/>
          </w:tcPr>
          <w:p>
            <w:pPr>
              <w:pStyle w:val="Compact"/>
            </w:pPr>
            <w:r>
              <w:t xml:space="preserve">6</w:t>
            </w:r>
          </w:p>
        </w:tc>
        <w:tc>
          <w:tcPr>
            <w:tcW w:w="3330" w:type="dxa"/>
          </w:tcPr>
          <w:p>
            <w:pPr>
              <w:pStyle w:val="Compact"/>
            </w:pPr>
            <w:r>
              <w:t xml:space="preserve">Миома матки: краткий обзор доказательств</w:t>
            </w:r>
          </w:p>
        </w:tc>
        <w:tc>
          <w:tcPr>
            <w:tcW w:w="1080" w:type="dxa"/>
          </w:tcPr>
          <w:p>
            <w:pPr>
              <w:pStyle w:val="Compact"/>
            </w:pPr>
            <w:hyperlink r:id="rId119" w:history="1">
              <w:r>
                <w:rPr>
                  <w:rStyle w:val="Hyperlink"/>
                </w:rPr>
                <w:t xml:space="preserve">источник</w:t>
              </w:r>
            </w:hyperlink>
          </w:p>
        </w:tc>
        <w:tc>
          <w:tcPr>
            <w:tcW w:w="2000" w:type="dxa"/>
          </w:tcPr>
          <w:p>
            <w:pPr>
              <w:pStyle w:val="Compact"/>
            </w:pPr>
            <w:r>
              <w:t xml:space="preserve">American Academy of Family Physicians / American Family Physician, United States.</w:t>
            </w:r>
          </w:p>
        </w:tc>
        <w:tc>
          <w:tcPr>
            <w:tcW w:w="680" w:type="dxa"/>
          </w:tcPr>
          <w:p>
            <w:pPr>
              <w:pStyle w:val="Compact"/>
            </w:pPr>
            <w:r>
              <w:t xml:space="preserve">2025</w:t>
            </w:r>
          </w:p>
        </w:tc>
        <w:tc>
          <w:tcPr>
            <w:tcW w:w="580" w:type="dxa"/>
          </w:tcPr>
          <w:p>
            <w:pPr>
              <w:pStyle w:val="Compact"/>
            </w:pPr>
          </w:p>
        </w:tc>
        <w:tc>
          <w:tcPr>
            <w:tcW w:w="1180" w:type="dxa"/>
          </w:tcPr>
          <w:p>
            <w:pPr>
              <w:pStyle w:val="Compact"/>
            </w:pPr>
            <w:r>
              <w:t xml:space="preserve">Открытая</w:t>
            </w:r>
          </w:p>
        </w:tc>
      </w:tr>
    </w:tbl>
    <w:p>
      <w:pPr>
        <w:pStyle w:val="Compact"/>
      </w:pPr>
    </w:p>
    <w:p>
      <w:pPr>
        <w:pStyle w:val="Heading2"/>
        <w:keepNext/>
      </w:pPr>
      <w:r>
        <w:t xml:space="preserve">1. Рекомендации № 461: ведение пациенток с миомой матки</w:t>
      </w:r>
    </w:p>
    <w:p>
      <w:pPr>
        <w:pStyle w:val="Keep"/>
        <w:keepNext/>
      </w:pPr>
      <w:r>
        <w:rPr>
          <w:i/>
          <w:iCs/>
        </w:rPr>
        <w:t xml:space="preserve">Guideline No. 461: The Management of Uterine Fibroids.</w:t>
      </w:r>
    </w:p>
    <w:p>
      <w:pPr>
        <w:pStyle w:val="BodyText"/>
      </w:pPr>
      <w:r>
        <w:rPr>
          <w:b/>
          <w:bCs/>
        </w:rPr>
        <w:t xml:space="preserve">Журнал</w:t>
      </w:r>
      <w:r>
        <w:t xml:space="preserve">: Journal of Obstetrics and Gynaecology Canada : JOGC = Journal D'obstetrique Et Gynecologie Du Canada : JOGC, 2025-Aug | </w:t>
      </w:r>
      <w:r>
        <w:rPr>
          <w:b/>
          <w:bCs/>
        </w:rPr>
        <w:t xml:space="preserve">Тип</w:t>
      </w:r>
      <w:r>
        <w:t xml:space="preserve">: Клинические рекомендации | </w:t>
      </w:r>
      <w:r>
        <w:rPr>
          <w:b/>
          <w:bCs/>
        </w:rPr>
        <w:t xml:space="preserve">Доступ</w:t>
      </w:r>
      <w:r>
        <w:t xml:space="preserve">: Закрытая | </w:t>
      </w:r>
      <w:r>
        <w:rPr>
          <w:b/>
          <w:bCs/>
        </w:rPr>
        <w:t xml:space="preserve">Лицензия</w:t>
      </w:r>
      <w:r>
        <w:t xml:space="preserve">: Без открытой лицензии | </w:t>
      </w:r>
      <w:r>
        <w:rPr>
          <w:b/>
          <w:bCs/>
        </w:rPr>
        <w:t xml:space="preserve">Цитирований</w:t>
      </w:r>
      <w:r>
        <w:t xml:space="preserve">: 11</w:t>
      </w:r>
    </w:p>
    <w:p>
      <w:pPr>
        <w:pStyle w:val="Keep"/>
        <w:keepNext/>
      </w:pPr>
      <w:r>
        <w:t xml:space="preserve">Канадское руководство SOGC поддерживает отсутствие вмешательства у большинства бессимптомных пациенток; поиск литературы охватывал период до января 2025 года. Пациенткам, желающим будущую беременность, руководство не рекомендует ЭМА из-за возможного снижения фертильности, повышения частоты выкидышей и неблагоприятных исходов беременности; рекомендация условная, достоверность доказательств умеренная. Документ преимущественно посвящён симптомной миоме.</w:t>
      </w:r>
    </w:p>
    <w:p>
      <w:pPr>
        <w:pStyle w:val="Actions"/>
      </w:pPr>
      <w:hyperlink r:id="rId101" w:history="1">
        <w:r>
          <w:rPr>
            <w:rStyle w:val="Hyperlink"/>
          </w:rPr>
          <w:t xml:space="preserve">Оригинал</w:t>
        </w:r>
      </w:hyperlink>
      <w:r>
        <w:t xml:space="preserve"> · </w:t>
      </w:r>
      <w:hyperlink r:id="rId126" w:history="1">
        <w:r>
          <w:rPr>
            <w:rStyle w:val="Hyperlink"/>
          </w:rPr>
          <w:t xml:space="preserve">Аннотация на русском</w:t>
        </w:r>
      </w:hyperlink>
    </w:p>
    <w:p>
      <w:pPr>
        <w:pStyle w:val="Heading2"/>
        <w:keepNext/>
      </w:pPr>
      <w:r>
        <w:t xml:space="preserve">2. Естественное течение полипов и лейомиом матки</w:t>
      </w:r>
    </w:p>
    <w:p>
      <w:pPr>
        <w:pStyle w:val="Keep"/>
        <w:keepNext/>
      </w:pPr>
      <w:r>
        <w:rPr>
          <w:i/>
          <w:iCs/>
        </w:rPr>
        <w:t xml:space="preserve">Natural history of uterine polyps and leiomyomata.</w:t>
      </w:r>
    </w:p>
    <w:p>
      <w:pPr>
        <w:pStyle w:val="BodyText"/>
      </w:pPr>
      <w:r>
        <w:rPr>
          <w:b/>
          <w:bCs/>
        </w:rPr>
        <w:t xml:space="preserve">Журнал</w:t>
      </w:r>
      <w:r>
        <w:t xml:space="preserve">: Obstetrics and Gynecology, 2002-Jul | </w:t>
      </w:r>
      <w:r>
        <w:rPr>
          <w:b/>
          <w:bCs/>
        </w:rPr>
        <w:t xml:space="preserve">Тип</w:t>
      </w:r>
      <w:r>
        <w:t xml:space="preserve">: Проспективное когортное исследование | </w:t>
      </w:r>
      <w:r>
        <w:rPr>
          <w:b/>
          <w:bCs/>
        </w:rPr>
        <w:t xml:space="preserve">Доступ</w:t>
      </w:r>
      <w:r>
        <w:t xml:space="preserve">: Закрытая | </w:t>
      </w:r>
      <w:r>
        <w:rPr>
          <w:b/>
          <w:bCs/>
        </w:rPr>
        <w:t xml:space="preserve">Цитирований</w:t>
      </w:r>
      <w:r>
        <w:t xml:space="preserve">: 245</w:t>
      </w:r>
    </w:p>
    <w:p>
      <w:pPr>
        <w:pStyle w:val="Keep"/>
        <w:keepNext/>
      </w:pPr>
      <w:r>
        <w:t xml:space="preserve">Когорта из 64 исходно бессимптомных пременопаузальных женщин обследована повторно через 2,5 года. Средний прирост размера миом составил 1,2 см, но шесть узлов у четырёх женщин перестали определяться; крупные узлы нередко росли без появления симптомов. Это наиболее прямые данные для случайной бессимптомной находки.</w:t>
      </w:r>
    </w:p>
    <w:p>
      <w:pPr>
        <w:pStyle w:val="Actions"/>
      </w:pPr>
      <w:hyperlink r:id="rId109" w:history="1">
        <w:r>
          <w:rPr>
            <w:rStyle w:val="Hyperlink"/>
          </w:rPr>
          <w:t xml:space="preserve">Оригинал</w:t>
        </w:r>
      </w:hyperlink>
      <w:r>
        <w:t xml:space="preserve"> · </w:t>
      </w:r>
      <w:hyperlink r:id="rId127" w:history="1">
        <w:r>
          <w:rPr>
            <w:rStyle w:val="Hyperlink"/>
          </w:rPr>
          <w:t xml:space="preserve">Аннотация на русском</w:t>
        </w:r>
      </w:hyperlink>
    </w:p>
    <w:p>
      <w:pPr>
        <w:pStyle w:val="Heading2"/>
        <w:keepNext/>
      </w:pPr>
      <w:r>
        <w:t xml:space="preserve">3. Рост лейомиом матки у чернокожих и белых женщин в пременопаузе</w:t>
      </w:r>
    </w:p>
    <w:p>
      <w:pPr>
        <w:pStyle w:val="Keep"/>
        <w:keepNext/>
      </w:pPr>
      <w:r>
        <w:rPr>
          <w:i/>
          <w:iCs/>
        </w:rPr>
        <w:t xml:space="preserve">Growth of uterine leiomyomata among premenopausal black and white women.</w:t>
      </w:r>
    </w:p>
    <w:p>
      <w:pPr>
        <w:pStyle w:val="BodyText"/>
      </w:pPr>
      <w:r>
        <w:rPr>
          <w:b/>
          <w:bCs/>
        </w:rPr>
        <w:t xml:space="preserve">Журнал</w:t>
      </w:r>
      <w:r>
        <w:t xml:space="preserve">: Proceedings of the National Academy of Sciences of the United States of America, 2008-Dec-16 | </w:t>
      </w:r>
      <w:r>
        <w:rPr>
          <w:b/>
          <w:bCs/>
        </w:rPr>
        <w:t xml:space="preserve">Тип</w:t>
      </w:r>
      <w:r>
        <w:t xml:space="preserve">: Проспективное когортное исследование | </w:t>
      </w:r>
      <w:r>
        <w:rPr>
          <w:b/>
          <w:bCs/>
        </w:rPr>
        <w:t xml:space="preserve">Доступ</w:t>
      </w:r>
      <w:r>
        <w:t xml:space="preserve">: Открытая | </w:t>
      </w:r>
      <w:r>
        <w:rPr>
          <w:b/>
          <w:bCs/>
        </w:rPr>
        <w:t xml:space="preserve">Цитирований</w:t>
      </w:r>
      <w:r>
        <w:t xml:space="preserve">: 365</w:t>
      </w:r>
    </w:p>
    <w:p>
      <w:pPr>
        <w:pStyle w:val="Keep"/>
        <w:keepNext/>
      </w:pPr>
      <w:r>
        <w:t xml:space="preserve">При повторной МРТ у 72 женщин проследили 262 узла в течение 12 месяцев. Медианный прирост объёма составлял 9% за шесть месяцев, диапазон от −89% до +138%; 7% узлов уменьшились более чем на 20%. Работа подтверждает неоднородность роста и возможность регресса, но отсутствие симптомов при включении не установлено, а последующие симптомы и лечение не оценены.</w:t>
      </w:r>
    </w:p>
    <w:p>
      <w:pPr>
        <w:pStyle w:val="Actions"/>
      </w:pPr>
      <w:hyperlink r:id="rId107" w:history="1">
        <w:r>
          <w:rPr>
            <w:rStyle w:val="Hyperlink"/>
          </w:rPr>
          <w:t xml:space="preserve">Оригинал</w:t>
        </w:r>
      </w:hyperlink>
      <w:r>
        <w:t xml:space="preserve"> · </w:t>
      </w:r>
      <w:hyperlink r:id="rId128" w:history="1">
        <w:r>
          <w:rPr>
            <w:rStyle w:val="Hyperlink"/>
          </w:rPr>
          <w:t xml:space="preserve">Аннотация на русском</w:t>
        </w:r>
      </w:hyperlink>
    </w:p>
    <w:p>
      <w:pPr>
        <w:pStyle w:val="Heading2"/>
        <w:keepNext/>
      </w:pPr>
      <w:r>
        <w:t xml:space="preserve">4. Возникновение и рост миом матки в проспективном исследовании молодых афроамериканок с ультразвуковым наблюдением</w:t>
      </w:r>
    </w:p>
    <w:p>
      <w:pPr>
        <w:pStyle w:val="Keep"/>
        <w:keepNext/>
      </w:pPr>
      <w:r>
        <w:rPr>
          <w:i/>
          <w:iCs/>
        </w:rPr>
        <w:t xml:space="preserve">Uterine fibroid incidence and growth in an ultrasound-based, prospective study of young African Americans.</w:t>
      </w:r>
    </w:p>
    <w:p>
      <w:pPr>
        <w:pStyle w:val="BodyText"/>
      </w:pPr>
      <w:r>
        <w:rPr>
          <w:b/>
          <w:bCs/>
        </w:rPr>
        <w:t xml:space="preserve">Журнал</w:t>
      </w:r>
      <w:r>
        <w:t xml:space="preserve">: American Journal of Obstetrics and Gynecology, 2020-Sep | </w:t>
      </w:r>
      <w:r>
        <w:rPr>
          <w:b/>
          <w:bCs/>
        </w:rPr>
        <w:t xml:space="preserve">Тип</w:t>
      </w:r>
      <w:r>
        <w:t xml:space="preserve">: Проспективное когортное исследование | </w:t>
      </w:r>
      <w:r>
        <w:rPr>
          <w:b/>
          <w:bCs/>
        </w:rPr>
        <w:t xml:space="preserve">Доступ</w:t>
      </w:r>
      <w:r>
        <w:t xml:space="preserve">: Открытая | </w:t>
      </w:r>
      <w:r>
        <w:rPr>
          <w:b/>
          <w:bCs/>
        </w:rPr>
        <w:t xml:space="preserve">Лицензия</w:t>
      </w:r>
      <w:r>
        <w:t xml:space="preserve">: Без открытой лицензии | </w:t>
      </w:r>
      <w:r>
        <w:rPr>
          <w:b/>
          <w:bCs/>
        </w:rPr>
        <w:t xml:space="preserve">Цитирований</w:t>
      </w:r>
      <w:r>
        <w:t xml:space="preserve">: 86</w:t>
      </w:r>
    </w:p>
    <w:p>
      <w:pPr>
        <w:pStyle w:val="Keep"/>
        <w:keepNext/>
      </w:pPr>
      <w:r>
        <w:t xml:space="preserve">Популяционная когорта включала 1693 афроамериканки 23–35 лет без ранее установленного диагноза миомы. В анализе 344 узлов у 251 женщины средний прирост объёма за 18 месяцев составил 89%, 95% ДИ 74–104%; узлы &lt;1 см чаще быстро росли и переставали определяться. Это данные о динамике размеров в молодой популяции, а не о вероятности симптомов или потребности в операции.</w:t>
      </w:r>
    </w:p>
    <w:p>
      <w:pPr>
        <w:pStyle w:val="Actions"/>
      </w:pPr>
      <w:hyperlink r:id="rId108" w:history="1">
        <w:r>
          <w:rPr>
            <w:rStyle w:val="Hyperlink"/>
          </w:rPr>
          <w:t xml:space="preserve">Оригинал</w:t>
        </w:r>
      </w:hyperlink>
      <w:r>
        <w:t xml:space="preserve"> · </w:t>
      </w:r>
      <w:hyperlink r:id="rId129" w:history="1">
        <w:r>
          <w:rPr>
            <w:rStyle w:val="Hyperlink"/>
          </w:rPr>
          <w:t xml:space="preserve">Аннотация на русском</w:t>
        </w:r>
      </w:hyperlink>
    </w:p>
    <w:p>
      <w:pPr>
        <w:pStyle w:val="Heading2"/>
        <w:keepNext/>
      </w:pPr>
      <w:r>
        <w:t xml:space="preserve">5. Рост хирургически подтверждённых лейомиом у женщин в постменопаузе: анализ влияющих факторов</w:t>
      </w:r>
    </w:p>
    <w:p>
      <w:pPr>
        <w:pStyle w:val="Keep"/>
        <w:keepNext/>
      </w:pPr>
      <w:r>
        <w:rPr>
          <w:i/>
          <w:iCs/>
        </w:rPr>
        <w:t xml:space="preserve">Growth of surgically confirmed leiomyomas in postmenopausal women: analysis of the influencing factors.</w:t>
      </w:r>
    </w:p>
    <w:p>
      <w:pPr>
        <w:pStyle w:val="BodyText"/>
      </w:pPr>
      <w:r>
        <w:rPr>
          <w:b/>
          <w:bCs/>
        </w:rPr>
        <w:t xml:space="preserve">Журнал</w:t>
      </w:r>
      <w:r>
        <w:t xml:space="preserve">: Menopause (New York, N.Y.), 2021-Sep-07 | </w:t>
      </w:r>
      <w:r>
        <w:rPr>
          <w:b/>
          <w:bCs/>
        </w:rPr>
        <w:t xml:space="preserve">Тип</w:t>
      </w:r>
      <w:r>
        <w:t xml:space="preserve">: Ретроспективное когортное исследование | </w:t>
      </w:r>
      <w:r>
        <w:rPr>
          <w:b/>
          <w:bCs/>
        </w:rPr>
        <w:t xml:space="preserve">Доступ</w:t>
      </w:r>
      <w:r>
        <w:t xml:space="preserve">: Закрытая | </w:t>
      </w:r>
      <w:r>
        <w:rPr>
          <w:b/>
          <w:bCs/>
        </w:rPr>
        <w:t xml:space="preserve">Цитирований</w:t>
      </w:r>
      <w:r>
        <w:t xml:space="preserve">: 11</w:t>
      </w:r>
    </w:p>
    <w:p>
      <w:pPr>
        <w:pStyle w:val="Keep"/>
        <w:keepNext/>
      </w:pPr>
      <w:r>
        <w:t xml:space="preserve">У 102 постменопаузальных женщин изучили 132 узла, впоследствии подтверждённых как доброкачественные при операции. Медианный прирост объёма за шесть месяцев составил 12,9%, диапазон от −61,4% до +184,1%; ожирение было связано с большим приростом. Работа показывает, что рост после менопаузы возможен и при миоме, но хирургический отбор не позволяет оценивать её естественное течение у всех бессимптомных женщин.</w:t>
      </w:r>
    </w:p>
    <w:p>
      <w:pPr>
        <w:pStyle w:val="Actions"/>
      </w:pPr>
      <w:hyperlink r:id="rId120" w:history="1">
        <w:r>
          <w:rPr>
            <w:rStyle w:val="Hyperlink"/>
          </w:rPr>
          <w:t xml:space="preserve">Оригинал</w:t>
        </w:r>
      </w:hyperlink>
      <w:r>
        <w:t xml:space="preserve"> · </w:t>
      </w:r>
      <w:hyperlink r:id="rId130" w:history="1">
        <w:r>
          <w:rPr>
            <w:rStyle w:val="Hyperlink"/>
          </w:rPr>
          <w:t xml:space="preserve">Аннотация на русском</w:t>
        </w:r>
      </w:hyperlink>
    </w:p>
    <w:p>
      <w:pPr>
        <w:pStyle w:val="Heading2"/>
        <w:keepNext/>
      </w:pPr>
      <w:r>
        <w:t xml:space="preserve">6. Миома матки: краткий обзор доказательств</w:t>
      </w:r>
    </w:p>
    <w:p>
      <w:pPr>
        <w:pStyle w:val="Keep"/>
        <w:keepNext/>
      </w:pPr>
      <w:r>
        <w:rPr>
          <w:i/>
          <w:iCs/>
        </w:rPr>
        <w:t xml:space="preserve">Uterine Fibroids: Rapid Evidence Review</w:t>
      </w:r>
    </w:p>
    <w:p>
      <w:pPr>
        <w:pStyle w:val="BodyText"/>
      </w:pPr>
      <w:r>
        <w:rPr>
          <w:b/>
          <w:bCs/>
        </w:rPr>
        <w:t xml:space="preserve">Журнал</w:t>
      </w:r>
      <w:r>
        <w:t xml:space="preserve">: American Academy of Family Physicians / American Family Physician, United States., 2025 | </w:t>
      </w:r>
      <w:r>
        <w:rPr>
          <w:b/>
          <w:bCs/>
        </w:rPr>
        <w:t xml:space="preserve">Тип</w:t>
      </w:r>
      <w:r>
        <w:t xml:space="preserve">: Краткий обзор доказательств | </w:t>
      </w:r>
      <w:r>
        <w:rPr>
          <w:b/>
          <w:bCs/>
        </w:rPr>
        <w:t xml:space="preserve">Доступ</w:t>
      </w:r>
      <w:r>
        <w:t xml:space="preserve">: Открытая</w:t>
      </w:r>
    </w:p>
    <w:p>
      <w:pPr>
        <w:pStyle w:val="Keep"/>
        <w:keepNext/>
      </w:pPr>
      <w:r>
        <w:t xml:space="preserve">Обзор поддерживает выжидательную тактику при отсутствии беспокоящих симптомов и у женщин в перименопаузе; эту позицию оценивает как категорию C, основанную на экспертном мнении. Для первичной диагностики рекомендует сочетание трансвагинального и трансабдоминального УЗИ с допплерографией, также категория C. Источник дополняет современную консервативную позицию, но не устанавливает доказанный календарь наблюдения.</w:t>
      </w:r>
    </w:p>
    <w:p>
      <w:pPr>
        <w:pStyle w:val="Actions"/>
      </w:pPr>
      <w:hyperlink r:id="rId119" w:history="1">
        <w:r>
          <w:rPr>
            <w:rStyle w:val="Hyperlink"/>
          </w:rPr>
          <w:t xml:space="preserve">Оригинал</w:t>
        </w:r>
      </w:hyperlink>
    </w:p>
    <w:p>
      <w:pPr>
        <w:pStyle w:val="Heading1"/>
        <w:keepNext/>
      </w:pPr>
      <w:r>
        <w:t xml:space="preserve">Направление 2. Профилактическое вмешательство при миоме без планов беременности</w:t>
      </w:r>
    </w:p>
    <w:p>
      <w:pPr>
        <w:pStyle w:val="Keep"/>
        <w:keepNext/>
      </w:pPr>
      <w:r>
        <w:rPr>
          <w:i/>
          <w:iCs/>
        </w:rPr>
        <w:t xml:space="preserve">Из 152 найденных статей отобрано 2.</w:t>
      </w:r>
    </w:p>
    <w:p>
      <w:pPr>
        <w:pStyle w:val="BodyText"/>
      </w:pPr>
      <w:r>
        <w:t xml:space="preserve">Для бессимптомных женщин без планов беременности профилактическая польза миомэктомии, эмболизации, абляции или гистерэктомии по сравнению с наблюдением не установлена в найденной литературе. Канадское руководство SOGC 2025 года поддерживает отсутствие вмешательства у большинства бессимптомных пациенток, но посвящено преимущественно лечению симптомной миомы </w:t>
      </w:r>
      <w:hyperlink r:id="rId101" w:history="1">
        <w:r>
          <w:rPr>
            <w:rStyle w:val="Hyperlink"/>
            <w:color w:val="B6322D"/>
            <w:u w:val="none"/>
            <w:vertAlign w:val="superscript"/>
          </w:rPr>
          <w:t xml:space="preserve">1</w:t>
        </w:r>
      </w:hyperlink>
      <w:r>
        <w:t xml:space="preserve">.</w:t>
      </w:r>
    </w:p>
    <w:tbl>
      <w:tblPr>
        <w:tblStyle w:val="Table"/>
        <w:tblW w:w="9411" w:type="dxa"/>
        <w:tblLayout w:type="fixed"/>
        <w:tblLook w:firstRow="1" w:lastRow="0" w:firstColumn="0" w:lastColumn="0" w:noHBand="0" w:noVBand="0" w:val="0020"/>
      </w:tblPr>
      <w:tblGrid>
        <w:gridCol w:w="3137"/>
        <w:gridCol w:w="3137"/>
        <w:gridCol w:w="3137"/>
      </w:tblGrid>
      <w:tr>
        <w:trPr>
          <w:cantSplit/>
          <w:tblHeader w:val="on"/>
        </w:trPr>
        <w:tc>
          <w:tcPr>
            <w:tcW w:w="3137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Тактика</w:t>
            </w:r>
          </w:p>
        </w:tc>
        <w:tc>
          <w:tcPr>
            <w:tcW w:w="3137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Что известно о профилактической пользе</w:t>
            </w:r>
          </w:p>
        </w:tc>
        <w:tc>
          <w:tcPr>
            <w:tcW w:w="3137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Показания и ограничения в источниках</w:t>
            </w:r>
          </w:p>
        </w:tc>
      </w:tr>
      <w:tr>
        <w:trPr>
          <w:cantSplit/>
        </w:trPr>
        <w:tc>
          <w:tcPr>
            <w:tcW w:w="3137" w:type="dxa"/>
          </w:tcPr>
          <w:p>
            <w:pPr>
              <w:pStyle w:val="Compact"/>
            </w:pPr>
            <w:r>
              <w:t xml:space="preserve">Наблюдение</w:t>
            </w:r>
          </w:p>
        </w:tc>
        <w:tc>
          <w:tcPr>
            <w:tcW w:w="3137" w:type="dxa"/>
          </w:tcPr>
          <w:p>
            <w:pPr>
              <w:pStyle w:val="Compact"/>
            </w:pPr>
            <w:r>
              <w:t xml:space="preserve">Не установлена</w:t>
            </w:r>
          </w:p>
        </w:tc>
        <w:tc>
          <w:tcPr>
            <w:tcW w:w="3137" w:type="dxa"/>
          </w:tcPr>
          <w:p>
            <w:pPr>
              <w:pStyle w:val="Compact"/>
            </w:pPr>
            <w:r>
              <w:t xml:space="preserve">Канадское руководство 2025 года: вмешательство не требуется большинству бессимптомных пациенток </w:t>
            </w:r>
            <w:hyperlink r:id="rId101" w:history="1">
              <w:r>
                <w:rPr>
                  <w:rStyle w:val="Hyperlink"/>
                  <w:color w:val="B6322D"/>
                  <w:u w:val="none"/>
                  <w:vertAlign w:val="superscript"/>
                </w:rPr>
                <w:t xml:space="preserve">1</w:t>
              </w:r>
            </w:hyperlink>
            <w:r>
              <w:t xml:space="preserve">. Российские КР: отсутствие кровотечений, боли и роста, матка до 12 недель, отсутствие субмукозных узлов; УУР C, УДД 5 </w:t>
            </w:r>
            <w:hyperlink r:id="rId102" w:history="1">
              <w:r>
                <w:rPr>
                  <w:rStyle w:val="Hyperlink"/>
                  <w:color w:val="B6322D"/>
                  <w:u w:val="none"/>
                  <w:vertAlign w:val="superscript"/>
                </w:rPr>
                <w:t xml:space="preserve">18</w:t>
              </w:r>
            </w:hyperlink>
          </w:p>
        </w:tc>
      </w:tr>
      <w:tr>
        <w:trPr>
          <w:cantSplit/>
        </w:trPr>
        <w:tc>
          <w:tcPr>
            <w:tcW w:w="3137" w:type="dxa"/>
          </w:tcPr>
          <w:p>
            <w:pPr>
              <w:pStyle w:val="Compact"/>
            </w:pPr>
            <w:r>
              <w:t xml:space="preserve">Миомэктомия или гистерэктомия</w:t>
            </w:r>
          </w:p>
        </w:tc>
        <w:tc>
          <w:tcPr>
            <w:tcW w:w="3137" w:type="dxa"/>
          </w:tcPr>
          <w:p>
            <w:pPr>
              <w:pStyle w:val="Compact"/>
            </w:pPr>
            <w:r>
              <w:t xml:space="preserve">Не установлена</w:t>
            </w:r>
          </w:p>
        </w:tc>
        <w:tc>
          <w:tcPr>
            <w:tcW w:w="3137" w:type="dxa"/>
          </w:tcPr>
          <w:p>
            <w:pPr>
              <w:pStyle w:val="Compact"/>
            </w:pPr>
            <w:r>
              <w:t xml:space="preserve">Российские КР перечисляют симптомные и анатомические показания к операции; УУР C, УДД 5 </w:t>
            </w:r>
            <w:hyperlink r:id="rId102" w:history="1">
              <w:r>
                <w:rPr>
                  <w:rStyle w:val="Hyperlink"/>
                  <w:color w:val="B6322D"/>
                  <w:u w:val="none"/>
                  <w:vertAlign w:val="superscript"/>
                </w:rPr>
                <w:t xml:space="preserve">18</w:t>
              </w:r>
            </w:hyperlink>
          </w:p>
        </w:tc>
      </w:tr>
      <w:tr>
        <w:trPr>
          <w:cantSplit/>
        </w:trPr>
        <w:tc>
          <w:tcPr>
            <w:tcW w:w="3137" w:type="dxa"/>
          </w:tcPr>
          <w:p>
            <w:pPr>
              <w:pStyle w:val="Compact"/>
            </w:pPr>
            <w:r>
              <w:t xml:space="preserve">Эмболизация маточных артерий</w:t>
            </w:r>
          </w:p>
        </w:tc>
        <w:tc>
          <w:tcPr>
            <w:tcW w:w="3137" w:type="dxa"/>
          </w:tcPr>
          <w:p>
            <w:pPr>
              <w:pStyle w:val="Compact"/>
            </w:pPr>
            <w:r>
              <w:t xml:space="preserve">Не установлена</w:t>
            </w:r>
          </w:p>
        </w:tc>
        <w:tc>
          <w:tcPr>
            <w:tcW w:w="3137" w:type="dxa"/>
          </w:tcPr>
          <w:p>
            <w:pPr>
              <w:pStyle w:val="Compact"/>
            </w:pPr>
            <w:r>
              <w:t xml:space="preserve">Канадское руководство рассматривает ЭМА среди методов лечения симптомов </w:t>
            </w:r>
            <w:hyperlink r:id="rId101" w:history="1">
              <w:r>
                <w:rPr>
                  <w:rStyle w:val="Hyperlink"/>
                  <w:color w:val="B6322D"/>
                  <w:u w:val="none"/>
                  <w:vertAlign w:val="superscript"/>
                </w:rPr>
                <w:t xml:space="preserve">1</w:t>
              </w:r>
            </w:hyperlink>
            <w:r>
              <w:t xml:space="preserve">. Российские КР допускают ЭМА при высоком операционном риске, отсутствии противопоказаний и отсутствии планов беременности; комментарий относится к отдельным женщинам с симптомной миомой, желающим сохранить матку; УУР C, УДД 5 </w:t>
            </w:r>
            <w:hyperlink r:id="rId102" w:history="1">
              <w:r>
                <w:rPr>
                  <w:rStyle w:val="Hyperlink"/>
                  <w:color w:val="B6322D"/>
                  <w:u w:val="none"/>
                  <w:vertAlign w:val="superscript"/>
                </w:rPr>
                <w:t xml:space="preserve">18</w:t>
              </w:r>
            </w:hyperlink>
          </w:p>
        </w:tc>
      </w:tr>
      <w:tr>
        <w:trPr>
          <w:cantSplit/>
        </w:trPr>
        <w:tc>
          <w:tcPr>
            <w:tcW w:w="3137" w:type="dxa"/>
          </w:tcPr>
          <w:p>
            <w:pPr>
              <w:pStyle w:val="Compact"/>
            </w:pPr>
            <w:r>
              <w:t xml:space="preserve">Энергетические методы абляции</w:t>
            </w:r>
          </w:p>
        </w:tc>
        <w:tc>
          <w:tcPr>
            <w:tcW w:w="3137" w:type="dxa"/>
          </w:tcPr>
          <w:p>
            <w:pPr>
              <w:pStyle w:val="Compact"/>
            </w:pPr>
            <w:r>
              <w:t xml:space="preserve">Не установлена</w:t>
            </w:r>
          </w:p>
        </w:tc>
        <w:tc>
          <w:tcPr>
            <w:tcW w:w="3137" w:type="dxa"/>
          </w:tcPr>
          <w:p>
            <w:pPr>
              <w:pStyle w:val="Compact"/>
            </w:pPr>
            <w:r>
              <w:t xml:space="preserve">В канадском руководстве рассмотрены как варианты лечения миома-ассоциированных симптомов </w:t>
            </w:r>
            <w:hyperlink r:id="rId101" w:history="1">
              <w:r>
                <w:rPr>
                  <w:rStyle w:val="Hyperlink"/>
                  <w:color w:val="B6322D"/>
                  <w:u w:val="none"/>
                  <w:vertAlign w:val="superscript"/>
                </w:rPr>
                <w:t xml:space="preserve">1</w:t>
              </w:r>
            </w:hyperlink>
          </w:p>
        </w:tc>
      </w:tr>
    </w:tbl>
    <w:p>
      <w:pPr>
        <w:pStyle w:val="Compact"/>
      </w:pPr>
    </w:p>
    <w:p>
      <w:pPr>
        <w:pStyle w:val="BodyText"/>
      </w:pPr>
      <w:r>
        <w:t xml:space="preserve">Российские рекомендации шире консервативного подхода по одному лишь отсутствию симптомов. Они включают в показания к операции размер матки более 12 недель беременности, увеличение более чем на 4 недели за год, рост после менопаузы, субмукозную, межсвязочную, шеечную или перешеечную локализацию и признаки нарушения кровообращения в узле. Симптомные показания включают кровотечения с анемией, боль, снижающую качество жизни, и сдавление соседних органов; УУР C, УДД 5 </w:t>
      </w:r>
      <w:hyperlink r:id="rId102" w:history="1">
        <w:r>
          <w:rPr>
            <w:rStyle w:val="Hyperlink"/>
            <w:color w:val="B6322D"/>
            <w:u w:val="none"/>
            <w:vertAlign w:val="superscript"/>
          </w:rPr>
          <w:t xml:space="preserve">18</w:t>
        </w:r>
      </w:hyperlink>
      <w:r>
        <w:t xml:space="preserve">. Обзор American Family Physician 2025 года формулирует условие менее ограничительно и допускает выжидательную тактику при отсутствии беспокоящих симптомов </w:t>
      </w:r>
      <w:hyperlink r:id="rId119" w:history="1">
        <w:r>
          <w:rPr>
            <w:rStyle w:val="Hyperlink"/>
            <w:color w:val="B6322D"/>
            <w:u w:val="none"/>
            <w:vertAlign w:val="superscript"/>
          </w:rPr>
          <w:t xml:space="preserve">6</w:t>
        </w:r>
      </w:hyperlink>
      <w:r>
        <w:t xml:space="preserve">.</w:t>
      </w:r>
    </w:p>
    <w:p>
      <w:pPr>
        <w:pStyle w:val="BodyText"/>
      </w:pPr>
      <w:r>
        <w:t xml:space="preserve">Наличие российского показания не равнозначно доказанному предотвращению будущих симптомов. У элективной операции есть собственный вред. По документу комитета ACOG, абдоминальный доступ связан с большей послеоперационной заболеваемостью, а морцелляция может распространить нераспознанную опухоль или доброкачественную ткань </w:t>
      </w:r>
      <w:hyperlink r:id="rId113" w:history="1">
        <w:r>
          <w:rPr>
            <w:rStyle w:val="Hyperlink"/>
            <w:color w:val="B6322D"/>
            <w:u w:val="none"/>
            <w:vertAlign w:val="superscript"/>
          </w:rPr>
          <w:t xml:space="preserve">7</w:t>
        </w:r>
      </w:hyperlink>
      <w:r>
        <w:t xml:space="preserve">. Медикаментозного лечения небольшой бессимптомной миомы российские КР не предусматривают </w:t>
      </w:r>
      <w:hyperlink r:id="rId102" w:history="1">
        <w:r>
          <w:rPr>
            <w:rStyle w:val="Hyperlink"/>
            <w:color w:val="B6322D"/>
            <w:u w:val="none"/>
            <w:vertAlign w:val="superscript"/>
          </w:rPr>
          <w:t xml:space="preserve">18</w:t>
        </w:r>
      </w:hyperlink>
      <w:r>
        <w:t xml:space="preserve">.</w:t>
      </w:r>
    </w:p>
    <w:tbl>
      <w:tblPr>
        <w:tblStyle w:val="Table"/>
        <w:tblW w:w="9270" w:type="dxa"/>
        <w:tblLayout w:type="fixed"/>
        <w:tblLook w:firstRow="1" w:lastRow="0" w:firstColumn="0" w:lastColumn="0" w:noHBand="0" w:noVBand="0" w:val="0020"/>
      </w:tblPr>
      <w:tblGrid>
        <w:gridCol w:w="420"/>
        <w:gridCol w:w="3330"/>
        <w:gridCol w:w="1080"/>
        <w:gridCol w:w="2000"/>
        <w:gridCol w:w="680"/>
        <w:gridCol w:w="580"/>
        <w:gridCol w:w="1180"/>
      </w:tblGrid>
      <w:tr>
        <w:trPr>
          <w:cantSplit/>
          <w:tblHeader w:val="on"/>
        </w:trPr>
        <w:tc>
          <w:tcPr>
            <w:tcW w:w="420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#</w:t>
            </w:r>
          </w:p>
        </w:tc>
        <w:tc>
          <w:tcPr>
            <w:tcW w:w="3330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Статья</w:t>
            </w:r>
          </w:p>
        </w:tc>
        <w:tc>
          <w:tcPr>
            <w:tcW w:w="1080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PMID</w:t>
            </w:r>
          </w:p>
        </w:tc>
        <w:tc>
          <w:tcPr>
            <w:tcW w:w="2000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Журнал</w:t>
            </w:r>
          </w:p>
        </w:tc>
        <w:tc>
          <w:tcPr>
            <w:tcW w:w="680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Год</w:t>
            </w:r>
          </w:p>
        </w:tc>
        <w:tc>
          <w:tcPr>
            <w:tcW w:w="580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Цит.</w:t>
            </w:r>
          </w:p>
        </w:tc>
        <w:tc>
          <w:tcPr>
            <w:tcW w:w="1180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Доступ</w:t>
            </w:r>
          </w:p>
        </w:tc>
      </w:tr>
      <w:tr>
        <w:trPr>
          <w:cantSplit/>
        </w:trPr>
        <w:tc>
          <w:tcPr>
            <w:tcW w:w="420" w:type="dxa"/>
          </w:tcPr>
          <w:p>
            <w:pPr>
              <w:pStyle w:val="Compact"/>
            </w:pPr>
            <w:r>
              <w:t xml:space="preserve">7</w:t>
            </w:r>
          </w:p>
        </w:tc>
        <w:tc>
          <w:tcPr>
            <w:tcW w:w="3330" w:type="dxa"/>
          </w:tcPr>
          <w:p>
            <w:pPr>
              <w:pStyle w:val="Compact"/>
            </w:pPr>
            <w:r>
              <w:t xml:space="preserve">Морцелляция матки при предполагаемой лейомиоме: мнение комитета Американской коллегии акушеров и гинекологов (ACOG) № 822</w:t>
            </w:r>
          </w:p>
        </w:tc>
        <w:tc>
          <w:tcPr>
            <w:tcW w:w="1080" w:type="dxa"/>
          </w:tcPr>
          <w:p>
            <w:pPr>
              <w:pStyle w:val="Compact"/>
            </w:pPr>
            <w:hyperlink r:id="rId131" w:history="1">
              <w:r>
                <w:rPr>
                  <w:rStyle w:val="Hyperlink"/>
                </w:rPr>
                <w:t xml:space="preserve">33595252</w:t>
              </w:r>
            </w:hyperlink>
          </w:p>
        </w:tc>
        <w:tc>
          <w:tcPr>
            <w:tcW w:w="2000" w:type="dxa"/>
          </w:tcPr>
          <w:p>
            <w:pPr>
              <w:pStyle w:val="Compact"/>
            </w:pPr>
            <w:r>
              <w:t xml:space="preserve">Obstetrics and Gynecology</w:t>
            </w:r>
          </w:p>
        </w:tc>
        <w:tc>
          <w:tcPr>
            <w:tcW w:w="680" w:type="dxa"/>
          </w:tcPr>
          <w:p>
            <w:pPr>
              <w:pStyle w:val="Compact"/>
            </w:pPr>
            <w:r>
              <w:t xml:space="preserve">2021</w:t>
            </w:r>
          </w:p>
        </w:tc>
        <w:tc>
          <w:tcPr>
            <w:tcW w:w="580" w:type="dxa"/>
          </w:tcPr>
          <w:p>
            <w:pPr>
              <w:pStyle w:val="Compact"/>
            </w:pPr>
            <w:r>
              <w:t xml:space="preserve">68</w:t>
            </w:r>
          </w:p>
        </w:tc>
        <w:tc>
          <w:tcPr>
            <w:tcW w:w="1180" w:type="dxa"/>
          </w:tcPr>
          <w:p>
            <w:pPr>
              <w:pStyle w:val="Compact"/>
            </w:pPr>
            <w:r>
              <w:t xml:space="preserve">Закрытая</w:t>
            </w:r>
          </w:p>
        </w:tc>
      </w:tr>
      <w:tr>
        <w:trPr>
          <w:cantSplit/>
        </w:trPr>
        <w:tc>
          <w:tcPr>
            <w:tcW w:w="420" w:type="dxa"/>
          </w:tcPr>
          <w:p>
            <w:pPr>
              <w:pStyle w:val="Compact"/>
            </w:pPr>
            <w:r>
              <w:t xml:space="preserve">8</w:t>
            </w:r>
          </w:p>
        </w:tc>
        <w:tc>
          <w:tcPr>
            <w:tcW w:w="3330" w:type="dxa"/>
          </w:tcPr>
          <w:p>
            <w:pPr>
              <w:pStyle w:val="Compact"/>
            </w:pPr>
            <w:r>
              <w:t xml:space="preserve">Распространённость нераспознанной лейомиосаркомы при операциях по поводу предполагаемой миомы матки: метаанализ</w:t>
            </w:r>
          </w:p>
        </w:tc>
        <w:tc>
          <w:tcPr>
            <w:tcW w:w="1080" w:type="dxa"/>
          </w:tcPr>
          <w:p>
            <w:pPr>
              <w:pStyle w:val="Compact"/>
            </w:pPr>
            <w:hyperlink r:id="rId132" w:history="1">
              <w:r>
                <w:rPr>
                  <w:rStyle w:val="Hyperlink"/>
                </w:rPr>
                <w:t xml:space="preserve">26283890</w:t>
              </w:r>
            </w:hyperlink>
          </w:p>
        </w:tc>
        <w:tc>
          <w:tcPr>
            <w:tcW w:w="2000" w:type="dxa"/>
          </w:tcPr>
          <w:p>
            <w:pPr>
              <w:pStyle w:val="Compact"/>
            </w:pPr>
            <w:r>
              <w:t xml:space="preserve">Gynecological Surgery</w:t>
            </w:r>
          </w:p>
        </w:tc>
        <w:tc>
          <w:tcPr>
            <w:tcW w:w="680" w:type="dxa"/>
          </w:tcPr>
          <w:p>
            <w:pPr>
              <w:pStyle w:val="Compact"/>
            </w:pPr>
            <w:r>
              <w:t xml:space="preserve">2015</w:t>
            </w:r>
          </w:p>
        </w:tc>
        <w:tc>
          <w:tcPr>
            <w:tcW w:w="580" w:type="dxa"/>
          </w:tcPr>
          <w:p>
            <w:pPr>
              <w:pStyle w:val="Compact"/>
            </w:pPr>
            <w:r>
              <w:t xml:space="preserve">188</w:t>
            </w:r>
          </w:p>
        </w:tc>
        <w:tc>
          <w:tcPr>
            <w:tcW w:w="1180" w:type="dxa"/>
          </w:tcPr>
          <w:p>
            <w:pPr>
              <w:pStyle w:val="Compact"/>
            </w:pPr>
            <w:r>
              <w:t xml:space="preserve">Открытая</w:t>
            </w:r>
          </w:p>
        </w:tc>
      </w:tr>
    </w:tbl>
    <w:p>
      <w:pPr>
        <w:pStyle w:val="Compact"/>
      </w:pPr>
    </w:p>
    <w:p>
      <w:pPr>
        <w:pStyle w:val="Heading2"/>
        <w:keepNext/>
      </w:pPr>
      <w:r>
        <w:t xml:space="preserve">7. Морцелляция матки при предполагаемой лейомиоме: мнение комитета Американской коллегии акушеров и гинекологов (ACOG) № 822</w:t>
      </w:r>
    </w:p>
    <w:p>
      <w:pPr>
        <w:pStyle w:val="Keep"/>
        <w:keepNext/>
      </w:pPr>
      <w:r>
        <w:rPr>
          <w:i/>
          <w:iCs/>
        </w:rPr>
        <w:t xml:space="preserve">Uterine Morcellation for Presumed Leiomyomas: ACOG Committee Opinion, Number 822.</w:t>
      </w:r>
    </w:p>
    <w:p>
      <w:pPr>
        <w:pStyle w:val="BodyText"/>
      </w:pPr>
      <w:r>
        <w:rPr>
          <w:b/>
          <w:bCs/>
        </w:rPr>
        <w:t xml:space="preserve">Журнал</w:t>
      </w:r>
      <w:r>
        <w:t xml:space="preserve">: Obstetrics and Gynecology, 2021-Mar-01 | </w:t>
      </w:r>
      <w:r>
        <w:rPr>
          <w:b/>
          <w:bCs/>
        </w:rPr>
        <w:t xml:space="preserve">Тип</w:t>
      </w:r>
      <w:r>
        <w:t xml:space="preserve">: Рекомендации профессионального комитета | </w:t>
      </w:r>
      <w:r>
        <w:rPr>
          <w:b/>
          <w:bCs/>
        </w:rPr>
        <w:t xml:space="preserve">Доступ</w:t>
      </w:r>
      <w:r>
        <w:t xml:space="preserve">: Закрытая | </w:t>
      </w:r>
      <w:r>
        <w:rPr>
          <w:b/>
          <w:bCs/>
        </w:rPr>
        <w:t xml:space="preserve">Цитирований</w:t>
      </w:r>
      <w:r>
        <w:t xml:space="preserve">: 68</w:t>
      </w:r>
    </w:p>
    <w:p>
      <w:pPr>
        <w:pStyle w:val="Keep"/>
        <w:keepNext/>
      </w:pPr>
      <w:r>
        <w:t xml:space="preserve">Документ посвящён безопасности удаления предполагаемой миомы, а не сравнению профилактической операции с наблюдением. Риск неожиданной лейомиосаркомы при операции по поводу предполагаемой симптомной миомы оценён от 1 на 770 до менее 1 на 10 000. Рекомендации объясняют ограничения дооперационной диагностики, риск распространения ткани при морцелляции и большую заболеваемость при абдоминальном доступе.</w:t>
      </w:r>
    </w:p>
    <w:p>
      <w:pPr>
        <w:pStyle w:val="Actions"/>
      </w:pPr>
      <w:hyperlink r:id="rId113" w:history="1">
        <w:r>
          <w:rPr>
            <w:rStyle w:val="Hyperlink"/>
          </w:rPr>
          <w:t xml:space="preserve">Оригинал</w:t>
        </w:r>
      </w:hyperlink>
      <w:r>
        <w:t xml:space="preserve"> · </w:t>
      </w:r>
      <w:hyperlink r:id="rId133" w:history="1">
        <w:r>
          <w:rPr>
            <w:rStyle w:val="Hyperlink"/>
          </w:rPr>
          <w:t xml:space="preserve">Аннотация на русском</w:t>
        </w:r>
      </w:hyperlink>
    </w:p>
    <w:p>
      <w:pPr>
        <w:pStyle w:val="Heading2"/>
        <w:keepNext/>
      </w:pPr>
      <w:r>
        <w:t xml:space="preserve">8. Распространённость нераспознанной лейомиосаркомы при операциях по поводу предполагаемой миомы матки: метаанализ</w:t>
      </w:r>
    </w:p>
    <w:p>
      <w:pPr>
        <w:pStyle w:val="Keep"/>
        <w:keepNext/>
      </w:pPr>
      <w:r>
        <w:rPr>
          <w:i/>
          <w:iCs/>
        </w:rPr>
        <w:t xml:space="preserve">The prevalence of occult leiomyosarcoma at surgery for presumed uterine fibroids: a meta-analysis.</w:t>
      </w:r>
    </w:p>
    <w:p>
      <w:pPr>
        <w:pStyle w:val="BodyText"/>
      </w:pPr>
      <w:r>
        <w:rPr>
          <w:b/>
          <w:bCs/>
        </w:rPr>
        <w:t xml:space="preserve">Журнал</w:t>
      </w:r>
      <w:r>
        <w:t xml:space="preserve">: Gynecological Surgery, 2015 | </w:t>
      </w:r>
      <w:r>
        <w:rPr>
          <w:b/>
          <w:bCs/>
        </w:rPr>
        <w:t xml:space="preserve">Тип</w:t>
      </w:r>
      <w:r>
        <w:t xml:space="preserve">: Систематический обзор и метаанализ | </w:t>
      </w:r>
      <w:r>
        <w:rPr>
          <w:b/>
          <w:bCs/>
        </w:rPr>
        <w:t xml:space="preserve">Доступ</w:t>
      </w:r>
      <w:r>
        <w:t xml:space="preserve">: Открытая | </w:t>
      </w:r>
      <w:r>
        <w:rPr>
          <w:b/>
          <w:bCs/>
        </w:rPr>
        <w:t xml:space="preserve">Лицензия</w:t>
      </w:r>
      <w:r>
        <w:t xml:space="preserve">: CC-BY | </w:t>
      </w:r>
      <w:r>
        <w:rPr>
          <w:b/>
          <w:bCs/>
        </w:rPr>
        <w:t xml:space="preserve">Цитирований</w:t>
      </w:r>
      <w:r>
        <w:t xml:space="preserve">: 188</w:t>
      </w:r>
    </w:p>
    <w:p>
      <w:pPr>
        <w:pStyle w:val="Keep"/>
        <w:keepNext/>
      </w:pPr>
      <w:r>
        <w:t xml:space="preserve">Байесовский метаанализ 133 исследований оценил распространённость лейомиосаркомы в 0,51 на 1000 операций, 95% достоверный интервал 0,16–0,98. В 64 проспективных исследованиях оценка снизилась до 0,12 на 1000, интервал &lt;0,01–0,75. Источник показывает зависимость оценки редкого события от дизайна; его знаменателем служат операции, а не все женщины со случайно выявленной миомой.</w:t>
      </w:r>
    </w:p>
    <w:p>
      <w:pPr>
        <w:pStyle w:val="Actions"/>
      </w:pPr>
      <w:hyperlink r:id="rId112" w:history="1">
        <w:r>
          <w:rPr>
            <w:rStyle w:val="Hyperlink"/>
          </w:rPr>
          <w:t xml:space="preserve">Оригинал</w:t>
        </w:r>
      </w:hyperlink>
      <w:r>
        <w:t xml:space="preserve"> · </w:t>
      </w:r>
      <w:hyperlink r:id="rId134" w:history="1">
        <w:r>
          <w:rPr>
            <w:rStyle w:val="Hyperlink"/>
          </w:rPr>
          <w:t xml:space="preserve">Аннотация на русском</w:t>
        </w:r>
      </w:hyperlink>
    </w:p>
    <w:p>
      <w:pPr>
        <w:pStyle w:val="Heading1"/>
        <w:keepNext/>
      </w:pPr>
      <w:r>
        <w:t xml:space="preserve">Направление 3. Бессимптомная миома и репродуктивные планы</w:t>
      </w:r>
    </w:p>
    <w:p>
      <w:pPr>
        <w:pStyle w:val="Keep"/>
        <w:keepNext/>
      </w:pPr>
      <w:r>
        <w:rPr>
          <w:i/>
          <w:iCs/>
        </w:rPr>
        <w:t xml:space="preserve">Из 346 найденных статей отобрано 10.</w:t>
      </w:r>
    </w:p>
    <w:p>
      <w:pPr>
        <w:pStyle w:val="BodyText"/>
      </w:pPr>
      <w:r>
        <w:t xml:space="preserve">При репродуктивных планах решающее различие проходит между узлами, деформирующими полость матки, и узлами без её деформации. Наиболее прямо применимо руководство Американского общества репродуктивной медицины (ASRM) 2017 года, посвящённое именно бессимптомной миоме: оно допускает миомэктомию при деформации полости, но обычно не рекомендует её бессимптомным женщинам с бесплодием и узлами без деформации полости </w:t>
      </w:r>
      <w:hyperlink r:id="rId103" w:history="1">
        <w:r>
          <w:rPr>
            <w:rStyle w:val="Hyperlink"/>
            <w:color w:val="B6322D"/>
            <w:u w:val="none"/>
            <w:vertAlign w:val="superscript"/>
          </w:rPr>
          <w:t xml:space="preserve">9</w:t>
        </w:r>
      </w:hyperlink>
      <w:r>
        <w:t xml:space="preserve">. Рандомизированная основа существенно слабее рекомендательной: в Кокрейновском обзоре только одно исследование сравнивало миомэктомию с отсутствием вмешательства, а живорождение в нём не оценивали </w:t>
      </w:r>
      <w:hyperlink r:id="rId104" w:history="1">
        <w:r>
          <w:rPr>
            <w:rStyle w:val="Hyperlink"/>
            <w:color w:val="B6322D"/>
            <w:u w:val="none"/>
            <w:vertAlign w:val="superscript"/>
          </w:rPr>
          <w:t xml:space="preserve">11</w:t>
        </w:r>
      </w:hyperlink>
      <w:r>
        <w:t xml:space="preserve">.</w:t>
      </w:r>
    </w:p>
    <w:tbl>
      <w:tblPr>
        <w:tblStyle w:val="Table"/>
        <w:tblW w:w="9411" w:type="dxa"/>
        <w:tblLayout w:type="fixed"/>
        <w:tblLook w:firstRow="1" w:lastRow="0" w:firstColumn="0" w:lastColumn="0" w:noHBand="0" w:noVBand="0" w:val="0020"/>
      </w:tblPr>
      <w:tblGrid>
        <w:gridCol w:w="3137"/>
        <w:gridCol w:w="3137"/>
        <w:gridCol w:w="3137"/>
      </w:tblGrid>
      <w:tr>
        <w:trPr>
          <w:cantSplit/>
          <w:tblHeader w:val="on"/>
        </w:trPr>
        <w:tc>
          <w:tcPr>
            <w:tcW w:w="3137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Локализация или контекст</w:t>
            </w:r>
          </w:p>
        </w:tc>
        <w:tc>
          <w:tcPr>
            <w:tcW w:w="3137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Международная позиция</w:t>
            </w:r>
          </w:p>
        </w:tc>
        <w:tc>
          <w:tcPr>
            <w:tcW w:w="3137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Российские рекомендации</w:t>
            </w:r>
          </w:p>
        </w:tc>
      </w:tr>
      <w:tr>
        <w:trPr>
          <w:cantSplit/>
        </w:trPr>
        <w:tc>
          <w:tcPr>
            <w:tcW w:w="3137" w:type="dxa"/>
          </w:tcPr>
          <w:p>
            <w:pPr>
              <w:pStyle w:val="Compact"/>
            </w:pPr>
            <w:r>
              <w:t xml:space="preserve">Субмукозный узел или узел, деформирующий полость</w:t>
            </w:r>
          </w:p>
        </w:tc>
        <w:tc>
          <w:tcPr>
            <w:tcW w:w="3137" w:type="dxa"/>
          </w:tcPr>
          <w:p>
            <w:pPr>
              <w:pStyle w:val="Compact"/>
            </w:pPr>
            <w:r>
              <w:t xml:space="preserve">ASRM допускает удаление для повышения частоты беременности; для гистероскопии поддержан исход «клиническая беременность», но не доказано увеличение живорождения </w:t>
            </w:r>
            <w:hyperlink r:id="rId103" w:history="1">
              <w:r>
                <w:rPr>
                  <w:rStyle w:val="Hyperlink"/>
                  <w:color w:val="B6322D"/>
                  <w:u w:val="none"/>
                  <w:vertAlign w:val="superscript"/>
                </w:rPr>
                <w:t xml:space="preserve">9</w:t>
              </w:r>
            </w:hyperlink>
          </w:p>
        </w:tc>
        <w:tc>
          <w:tcPr>
            <w:tcW w:w="3137" w:type="dxa"/>
          </w:tcPr>
          <w:p>
            <w:pPr>
              <w:pStyle w:val="Compact"/>
            </w:pPr>
            <w:r>
              <w:t xml:space="preserve">Гистероскопическое хирургическое лечение субмукозной миомы; УУР C, УДД 5 </w:t>
            </w:r>
            <w:hyperlink r:id="rId102" w:history="1">
              <w:r>
                <w:rPr>
                  <w:rStyle w:val="Hyperlink"/>
                  <w:color w:val="B6322D"/>
                  <w:u w:val="none"/>
                  <w:vertAlign w:val="superscript"/>
                </w:rPr>
                <w:t xml:space="preserve">18</w:t>
              </w:r>
            </w:hyperlink>
          </w:p>
        </w:tc>
      </w:tr>
      <w:tr>
        <w:trPr>
          <w:cantSplit/>
        </w:trPr>
        <w:tc>
          <w:tcPr>
            <w:tcW w:w="3137" w:type="dxa"/>
          </w:tcPr>
          <w:p>
            <w:pPr>
              <w:pStyle w:val="Compact"/>
            </w:pPr>
            <w:r>
              <w:t xml:space="preserve">Интрамуральный узел без деформации полости у бессимптомной женщины с бесплодием</w:t>
            </w:r>
          </w:p>
        </w:tc>
        <w:tc>
          <w:tcPr>
            <w:tcW w:w="3137" w:type="dxa"/>
          </w:tcPr>
          <w:p>
            <w:pPr>
              <w:pStyle w:val="Compact"/>
            </w:pPr>
            <w:r>
              <w:t xml:space="preserve">Миомэктомия обычно не рекомендована; возможное исключение связано с нарушением анатомии, затрудняющим доступ к яичникам при получении ооцитов </w:t>
            </w:r>
            <w:hyperlink r:id="rId103" w:history="1">
              <w:r>
                <w:rPr>
                  <w:rStyle w:val="Hyperlink"/>
                  <w:color w:val="B6322D"/>
                  <w:u w:val="none"/>
                  <w:vertAlign w:val="superscript"/>
                </w:rPr>
                <w:t xml:space="preserve">9</w:t>
              </w:r>
            </w:hyperlink>
          </w:p>
        </w:tc>
        <w:tc>
          <w:tcPr>
            <w:tcW w:w="3137" w:type="dxa"/>
          </w:tcPr>
          <w:p>
            <w:pPr>
              <w:pStyle w:val="Compact"/>
            </w:pPr>
            <w:r>
              <w:t xml:space="preserve">Рекомендации предлагают сопоставлять пользу миомэктомии с рисками и решать о лечении интрамуральной миомы индивидуально; УУР C, УДД 5 </w:t>
            </w:r>
            <w:hyperlink r:id="rId102" w:history="1">
              <w:r>
                <w:rPr>
                  <w:rStyle w:val="Hyperlink"/>
                  <w:color w:val="B6322D"/>
                  <w:u w:val="none"/>
                  <w:vertAlign w:val="superscript"/>
                </w:rPr>
                <w:t xml:space="preserve">18</w:t>
              </w:r>
            </w:hyperlink>
          </w:p>
        </w:tc>
      </w:tr>
      <w:tr>
        <w:trPr>
          <w:cantSplit/>
        </w:trPr>
        <w:tc>
          <w:tcPr>
            <w:tcW w:w="3137" w:type="dxa"/>
          </w:tcPr>
          <w:p>
            <w:pPr>
              <w:pStyle w:val="Compact"/>
            </w:pPr>
            <w:r>
              <w:t xml:space="preserve">Субсерозный узел</w:t>
            </w:r>
          </w:p>
        </w:tc>
        <w:tc>
          <w:tcPr>
            <w:tcW w:w="3137" w:type="dxa"/>
          </w:tcPr>
          <w:p>
            <w:pPr>
              <w:pStyle w:val="Compact"/>
            </w:pPr>
            <w:r>
              <w:t xml:space="preserve">Доказательств улучшения фертильности после удаления недостаточно </w:t>
            </w:r>
            <w:hyperlink r:id="rId103" w:history="1">
              <w:r>
                <w:rPr>
                  <w:rStyle w:val="Hyperlink"/>
                  <w:color w:val="B6322D"/>
                  <w:u w:val="none"/>
                  <w:vertAlign w:val="superscript"/>
                </w:rPr>
                <w:t xml:space="preserve">9</w:t>
              </w:r>
            </w:hyperlink>
          </w:p>
        </w:tc>
        <w:tc>
          <w:tcPr>
            <w:tcW w:w="3137" w:type="dxa"/>
          </w:tcPr>
          <w:p>
            <w:pPr>
              <w:pStyle w:val="Compact"/>
            </w:pPr>
            <w:r>
              <w:t xml:space="preserve">Удаление только из-за бесплодия без специальных хирургических показаний не рекомендовано; УУР C, УДД 5 </w:t>
            </w:r>
            <w:hyperlink r:id="rId102" w:history="1">
              <w:r>
                <w:rPr>
                  <w:rStyle w:val="Hyperlink"/>
                  <w:color w:val="B6322D"/>
                  <w:u w:val="none"/>
                  <w:vertAlign w:val="superscript"/>
                </w:rPr>
                <w:t xml:space="preserve">18</w:t>
              </w:r>
            </w:hyperlink>
          </w:p>
        </w:tc>
      </w:tr>
      <w:tr>
        <w:trPr>
          <w:cantSplit/>
        </w:trPr>
        <w:tc>
          <w:tcPr>
            <w:tcW w:w="3137" w:type="dxa"/>
          </w:tcPr>
          <w:p>
            <w:pPr>
              <w:pStyle w:val="Compact"/>
            </w:pPr>
            <w:r>
              <w:t xml:space="preserve">Эмболизация маточных артерий при планировании беременности</w:t>
            </w:r>
          </w:p>
        </w:tc>
        <w:tc>
          <w:tcPr>
            <w:tcW w:w="3137" w:type="dxa"/>
          </w:tcPr>
          <w:p>
            <w:pPr>
              <w:pStyle w:val="Compact"/>
            </w:pPr>
            <w:r>
              <w:t xml:space="preserve">Канадское руководство 2025 года не рекомендует ЭМА пациенткам, желающим будущую беременность: условная рекомендация, умеренная достоверность доказательств </w:t>
            </w:r>
            <w:hyperlink r:id="rId101" w:history="1">
              <w:r>
                <w:rPr>
                  <w:rStyle w:val="Hyperlink"/>
                  <w:color w:val="B6322D"/>
                  <w:u w:val="none"/>
                  <w:vertAlign w:val="superscript"/>
                </w:rPr>
                <w:t xml:space="preserve">1</w:t>
              </w:r>
            </w:hyperlink>
          </w:p>
        </w:tc>
        <w:tc>
          <w:tcPr>
            <w:tcW w:w="3137" w:type="dxa"/>
          </w:tcPr>
          <w:p>
            <w:pPr>
              <w:pStyle w:val="Compact"/>
            </w:pPr>
            <w:r>
              <w:t xml:space="preserve">ЭМА не рекомендована планирующим беременность; УУР C, УДД 5 </w:t>
            </w:r>
            <w:hyperlink r:id="rId102" w:history="1">
              <w:r>
                <w:rPr>
                  <w:rStyle w:val="Hyperlink"/>
                  <w:color w:val="B6322D"/>
                  <w:u w:val="none"/>
                  <w:vertAlign w:val="superscript"/>
                </w:rPr>
                <w:t xml:space="preserve">18</w:t>
              </w:r>
            </w:hyperlink>
          </w:p>
        </w:tc>
      </w:tr>
    </w:tbl>
    <w:p>
      <w:pPr>
        <w:pStyle w:val="Compact"/>
      </w:pPr>
    </w:p>
    <w:p>
      <w:pPr>
        <w:pStyle w:val="BodyText"/>
      </w:pPr>
      <w:r>
        <w:t xml:space="preserve">Наблюдательные метаанализы показывают связь интрамуральных миом с худшими репродуктивными исходами, но эта связь сама по себе не доказывает пользу удаления. В анализе миом без деформации полости размером ≤6 см при ЭКО шансы живорождения были ниже, чем у женщин без миомы: ОШ 0,48, 95% ДИ 0,36–0,65; достоверность низкая </w:t>
      </w:r>
      <w:hyperlink r:id="rId110" w:history="1">
        <w:r>
          <w:rPr>
            <w:rStyle w:val="Hyperlink"/>
            <w:color w:val="B6322D"/>
            <w:u w:val="none"/>
            <w:vertAlign w:val="superscript"/>
          </w:rPr>
          <w:t xml:space="preserve">14</w:t>
        </w:r>
      </w:hyperlink>
      <w:r>
        <w:t xml:space="preserve">. В более широком анализе интрамуральных узлов преимущество миомэктомии по клинической беременности не продемонстрировано: ОШ 1,10, 95% ДИ 0,77–1,59 </w:t>
      </w:r>
      <w:hyperlink r:id="rId105" w:history="1">
        <w:r>
          <w:rPr>
            <w:rStyle w:val="Hyperlink"/>
            <w:color w:val="B6322D"/>
            <w:u w:val="none"/>
            <w:vertAlign w:val="superscript"/>
          </w:rPr>
          <w:t xml:space="preserve">12</w:t>
        </w:r>
      </w:hyperlink>
      <w:r>
        <w:t xml:space="preserve">. Однако более новый метаанализ семи нерандомизированных исследований с 1644 женщинами перед ЭКО или интрацитоплазматической инъекцией сперматозоида (ИКСИ) выявил положительную связь операции с продолжающейся беременностью или живорождением: относительный риск 1,64, 95% ДИ 1,15–2,33 </w:t>
      </w:r>
      <w:hyperlink r:id="rId106" w:history="1">
        <w:r>
          <w:rPr>
            <w:rStyle w:val="Hyperlink"/>
            <w:color w:val="B6322D"/>
            <w:u w:val="none"/>
            <w:vertAlign w:val="superscript"/>
          </w:rPr>
          <w:t xml:space="preserve">13</w:t>
        </w:r>
      </w:hyperlink>
      <w:r>
        <w:t xml:space="preserve">. Это не прямое опровержение прежней оценки: различаются популяция и исход, а клиническая беременность, продолжающаяся беременность и живорождение не взаимозаменяемы. Авторы нового обзора отмечают неодинаковую классификацию миом и разное представление исходов, а нерандомизированный дизайн не устанавливает причинную пользу операции </w:t>
      </w:r>
      <w:hyperlink r:id="rId106" w:history="1">
        <w:r>
          <w:rPr>
            <w:rStyle w:val="Hyperlink"/>
            <w:color w:val="B6322D"/>
            <w:u w:val="none"/>
            <w:vertAlign w:val="superscript"/>
          </w:rPr>
          <w:t xml:space="preserve">13</w:t>
        </w:r>
      </w:hyperlink>
      <w:r>
        <w:t xml:space="preserve">.</w:t>
      </w:r>
    </w:p>
    <w:p>
      <w:pPr>
        <w:pStyle w:val="BodyText"/>
      </w:pPr>
      <w:r>
        <w:t xml:space="preserve">Результаты ЭКО не отвечают на вопрос о естественном зачатии. Метаанализ по естественной фертильности выявил проблемы временной последовательности событий и недостаток прямых данных </w:t>
      </w:r>
      <w:hyperlink r:id="rId135" w:history="1">
        <w:r>
          <w:rPr>
            <w:rStyle w:val="Hyperlink"/>
            <w:color w:val="B6322D"/>
            <w:u w:val="none"/>
            <w:vertAlign w:val="superscript"/>
          </w:rPr>
          <w:t xml:space="preserve">15</w:t>
        </w:r>
      </w:hyperlink>
      <w:r>
        <w:t xml:space="preserve">. Новая когорта субсерозных узлов также не меняет вывод: более высокая частота беременности после удаления крупных узлов получена при сравнении двух прооперированных подгрупп, без наблюдения в качестве контроля и без оценки живорождения </w:t>
      </w:r>
      <w:hyperlink r:id="rId136" w:history="1">
        <w:r>
          <w:rPr>
            <w:rStyle w:val="Hyperlink"/>
            <w:color w:val="B6322D"/>
            <w:u w:val="none"/>
            <w:vertAlign w:val="superscript"/>
          </w:rPr>
          <w:t xml:space="preserve">17</w:t>
        </w:r>
      </w:hyperlink>
      <w:r>
        <w:t xml:space="preserve">.</w:t>
      </w:r>
    </w:p>
    <w:p>
      <w:pPr>
        <w:pStyle w:val="BodyText"/>
      </w:pPr>
      <w:r>
        <w:t xml:space="preserve">Перед операцией канадское руководство 2015 года по бесплодию предлагает оценить локализацию и отношение узла к полости с помощью трансвагинального УЗИ, гистероскопии, соногистерографии или МРТ, категория III-A. Для субмукозных узлов оценивают размер, внутриполостную часть и остаточную толщину миометрия; гистероскопический подход описан преимущественно для узлов &lt;5 см, а при больших размерах могут потребоваться повторные вмешательства, категория III-B </w:t>
      </w:r>
      <w:hyperlink r:id="rId137" w:history="1">
        <w:r>
          <w:rPr>
            <w:rStyle w:val="Hyperlink"/>
            <w:color w:val="B6322D"/>
            <w:u w:val="none"/>
            <w:vertAlign w:val="superscript"/>
          </w:rPr>
          <w:t xml:space="preserve">10</w:t>
        </w:r>
      </w:hyperlink>
      <w:r>
        <w:t xml:space="preserve">. Канадское руководство 2025 года не рекомендует ЭМА при будущих репродуктивных планах из-за возможного снижения фертильности, повышения частоты выкидышей и неблагоприятных исходов беременности </w:t>
      </w:r>
      <w:hyperlink r:id="rId101" w:history="1">
        <w:r>
          <w:rPr>
            <w:rStyle w:val="Hyperlink"/>
            <w:color w:val="B6322D"/>
            <w:u w:val="none"/>
            <w:vertAlign w:val="superscript"/>
          </w:rPr>
          <w:t xml:space="preserve">1</w:t>
        </w:r>
      </w:hyperlink>
      <w:r>
        <w:t xml:space="preserve">. Репродуктивный вред операции включает внутриматочные спайки; сравнительные частоты по доступам получены из неоднородных, нерандомизированных данных </w:t>
      </w:r>
      <w:hyperlink r:id="rId114" w:history="1">
        <w:r>
          <w:rPr>
            <w:rStyle w:val="Hyperlink"/>
            <w:color w:val="B6322D"/>
            <w:u w:val="none"/>
            <w:vertAlign w:val="superscript"/>
          </w:rPr>
          <w:t xml:space="preserve">16</w:t>
        </w:r>
      </w:hyperlink>
      <w:r>
        <w:t xml:space="preserve">. Шестимесячный период без зачатия в новой когорте был условием исследования, а не доказанным универсальным сроком ожидания </w:t>
      </w:r>
      <w:hyperlink r:id="rId136" w:history="1">
        <w:r>
          <w:rPr>
            <w:rStyle w:val="Hyperlink"/>
            <w:color w:val="B6322D"/>
            <w:u w:val="none"/>
            <w:vertAlign w:val="superscript"/>
          </w:rPr>
          <w:t xml:space="preserve">17</w:t>
        </w:r>
      </w:hyperlink>
      <w:r>
        <w:t xml:space="preserve">.</w:t>
      </w:r>
    </w:p>
    <w:tbl>
      <w:tblPr>
        <w:tblStyle w:val="Table"/>
        <w:tblW w:w="9270" w:type="dxa"/>
        <w:tblLayout w:type="fixed"/>
        <w:tblLook w:firstRow="1" w:lastRow="0" w:firstColumn="0" w:lastColumn="0" w:noHBand="0" w:noVBand="0" w:val="0020"/>
      </w:tblPr>
      <w:tblGrid>
        <w:gridCol w:w="420"/>
        <w:gridCol w:w="3330"/>
        <w:gridCol w:w="1080"/>
        <w:gridCol w:w="2000"/>
        <w:gridCol w:w="680"/>
        <w:gridCol w:w="580"/>
        <w:gridCol w:w="1180"/>
      </w:tblGrid>
      <w:tr>
        <w:trPr>
          <w:cantSplit/>
          <w:tblHeader w:val="on"/>
        </w:trPr>
        <w:tc>
          <w:tcPr>
            <w:tcW w:w="420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#</w:t>
            </w:r>
          </w:p>
        </w:tc>
        <w:tc>
          <w:tcPr>
            <w:tcW w:w="3330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Статья</w:t>
            </w:r>
          </w:p>
        </w:tc>
        <w:tc>
          <w:tcPr>
            <w:tcW w:w="1080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PMID</w:t>
            </w:r>
          </w:p>
        </w:tc>
        <w:tc>
          <w:tcPr>
            <w:tcW w:w="2000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Журнал</w:t>
            </w:r>
          </w:p>
        </w:tc>
        <w:tc>
          <w:tcPr>
            <w:tcW w:w="680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Год</w:t>
            </w:r>
          </w:p>
        </w:tc>
        <w:tc>
          <w:tcPr>
            <w:tcW w:w="580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Цит.</w:t>
            </w:r>
          </w:p>
        </w:tc>
        <w:tc>
          <w:tcPr>
            <w:tcW w:w="1180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Доступ</w:t>
            </w:r>
          </w:p>
        </w:tc>
      </w:tr>
      <w:tr>
        <w:trPr>
          <w:cantSplit/>
        </w:trPr>
        <w:tc>
          <w:tcPr>
            <w:tcW w:w="420" w:type="dxa"/>
          </w:tcPr>
          <w:p>
            <w:pPr>
              <w:pStyle w:val="Compact"/>
            </w:pPr>
            <w:r>
              <w:t xml:space="preserve">9</w:t>
            </w:r>
          </w:p>
        </w:tc>
        <w:tc>
          <w:tcPr>
            <w:tcW w:w="3330" w:type="dxa"/>
          </w:tcPr>
          <w:p>
            <w:pPr>
              <w:pStyle w:val="Compact"/>
            </w:pPr>
            <w:r>
              <w:t xml:space="preserve">Удаление миом у бессимптомных пациенток для улучшения фертильности и/или снижения частоты выкидышей: клинические рекомендации</w:t>
            </w:r>
          </w:p>
        </w:tc>
        <w:tc>
          <w:tcPr>
            <w:tcW w:w="1080" w:type="dxa"/>
          </w:tcPr>
          <w:p>
            <w:pPr>
              <w:pStyle w:val="Compact"/>
            </w:pPr>
            <w:hyperlink r:id="rId138" w:history="1">
              <w:r>
                <w:rPr>
                  <w:rStyle w:val="Hyperlink"/>
                </w:rPr>
                <w:t xml:space="preserve">28865538</w:t>
              </w:r>
            </w:hyperlink>
          </w:p>
        </w:tc>
        <w:tc>
          <w:tcPr>
            <w:tcW w:w="2000" w:type="dxa"/>
          </w:tcPr>
          <w:p>
            <w:pPr>
              <w:pStyle w:val="Compact"/>
            </w:pPr>
            <w:r>
              <w:t xml:space="preserve">Fertility and Sterility</w:t>
            </w:r>
          </w:p>
        </w:tc>
        <w:tc>
          <w:tcPr>
            <w:tcW w:w="680" w:type="dxa"/>
          </w:tcPr>
          <w:p>
            <w:pPr>
              <w:pStyle w:val="Compact"/>
            </w:pPr>
            <w:r>
              <w:t xml:space="preserve">2017</w:t>
            </w:r>
          </w:p>
        </w:tc>
        <w:tc>
          <w:tcPr>
            <w:tcW w:w="580" w:type="dxa"/>
          </w:tcPr>
          <w:p>
            <w:pPr>
              <w:pStyle w:val="Compact"/>
            </w:pPr>
            <w:r>
              <w:t xml:space="preserve">182</w:t>
            </w:r>
          </w:p>
        </w:tc>
        <w:tc>
          <w:tcPr>
            <w:tcW w:w="1180" w:type="dxa"/>
          </w:tcPr>
          <w:p>
            <w:pPr>
              <w:pStyle w:val="Compact"/>
            </w:pPr>
            <w:r>
              <w:t xml:space="preserve">Открытая</w:t>
            </w:r>
          </w:p>
        </w:tc>
      </w:tr>
      <w:tr>
        <w:trPr>
          <w:cantSplit/>
        </w:trPr>
        <w:tc>
          <w:tcPr>
            <w:tcW w:w="420" w:type="dxa"/>
          </w:tcPr>
          <w:p>
            <w:pPr>
              <w:pStyle w:val="Compact"/>
            </w:pPr>
            <w:r>
              <w:t xml:space="preserve">10</w:t>
            </w:r>
          </w:p>
        </w:tc>
        <w:tc>
          <w:tcPr>
            <w:tcW w:w="3330" w:type="dxa"/>
          </w:tcPr>
          <w:p>
            <w:pPr>
              <w:pStyle w:val="Compact"/>
            </w:pPr>
            <w:r>
              <w:t xml:space="preserve">Ведение пациенток с миомой матки и бесплодием, не объяснимым другими причинами</w:t>
            </w:r>
          </w:p>
        </w:tc>
        <w:tc>
          <w:tcPr>
            <w:tcW w:w="1080" w:type="dxa"/>
          </w:tcPr>
          <w:p>
            <w:pPr>
              <w:pStyle w:val="Compact"/>
            </w:pPr>
            <w:hyperlink r:id="rId139" w:history="1">
              <w:r>
                <w:rPr>
                  <w:rStyle w:val="Hyperlink"/>
                </w:rPr>
                <w:t xml:space="preserve">26001875</w:t>
              </w:r>
            </w:hyperlink>
          </w:p>
        </w:tc>
        <w:tc>
          <w:tcPr>
            <w:tcW w:w="2000" w:type="dxa"/>
          </w:tcPr>
          <w:p>
            <w:pPr>
              <w:pStyle w:val="Compact"/>
            </w:pPr>
            <w:r>
              <w:t xml:space="preserve">Journal of Obstetrics and Gynaecology Canada : JOGC = Journal D'obstetrique Et Gynecologie Du Canada : JOGC</w:t>
            </w:r>
          </w:p>
        </w:tc>
        <w:tc>
          <w:tcPr>
            <w:tcW w:w="680" w:type="dxa"/>
          </w:tcPr>
          <w:p>
            <w:pPr>
              <w:pStyle w:val="Compact"/>
            </w:pPr>
            <w:r>
              <w:t xml:space="preserve">2015</w:t>
            </w:r>
          </w:p>
        </w:tc>
        <w:tc>
          <w:tcPr>
            <w:tcW w:w="580" w:type="dxa"/>
          </w:tcPr>
          <w:p>
            <w:pPr>
              <w:pStyle w:val="Compact"/>
            </w:pPr>
            <w:r>
              <w:t xml:space="preserve">192</w:t>
            </w:r>
          </w:p>
        </w:tc>
        <w:tc>
          <w:tcPr>
            <w:tcW w:w="1180" w:type="dxa"/>
          </w:tcPr>
          <w:p>
            <w:pPr>
              <w:pStyle w:val="Compact"/>
            </w:pPr>
            <w:r>
              <w:t xml:space="preserve">Открытая</w:t>
            </w:r>
          </w:p>
        </w:tc>
      </w:tr>
      <w:tr>
        <w:trPr>
          <w:cantSplit/>
        </w:trPr>
        <w:tc>
          <w:tcPr>
            <w:tcW w:w="420" w:type="dxa"/>
          </w:tcPr>
          <w:p>
            <w:pPr>
              <w:pStyle w:val="Compact"/>
            </w:pPr>
            <w:r>
              <w:t xml:space="preserve">11</w:t>
            </w:r>
          </w:p>
        </w:tc>
        <w:tc>
          <w:tcPr>
            <w:tcW w:w="3330" w:type="dxa"/>
          </w:tcPr>
          <w:p>
            <w:pPr>
              <w:pStyle w:val="Compact"/>
            </w:pPr>
            <w:r>
              <w:t xml:space="preserve">Хирургическое лечение миомы при сниженной фертильности</w:t>
            </w:r>
          </w:p>
        </w:tc>
        <w:tc>
          <w:tcPr>
            <w:tcW w:w="1080" w:type="dxa"/>
          </w:tcPr>
          <w:p>
            <w:pPr>
              <w:pStyle w:val="Compact"/>
            </w:pPr>
            <w:hyperlink r:id="rId140" w:history="1">
              <w:r>
                <w:rPr>
                  <w:rStyle w:val="Hyperlink"/>
                </w:rPr>
                <w:t xml:space="preserve">31995657</w:t>
              </w:r>
            </w:hyperlink>
          </w:p>
        </w:tc>
        <w:tc>
          <w:tcPr>
            <w:tcW w:w="2000" w:type="dxa"/>
          </w:tcPr>
          <w:p>
            <w:pPr>
              <w:pStyle w:val="Compact"/>
            </w:pPr>
            <w:r>
              <w:t xml:space="preserve">The Cochrane Database of Systematic Reviews</w:t>
            </w:r>
          </w:p>
        </w:tc>
        <w:tc>
          <w:tcPr>
            <w:tcW w:w="680" w:type="dxa"/>
          </w:tcPr>
          <w:p>
            <w:pPr>
              <w:pStyle w:val="Compact"/>
            </w:pPr>
            <w:r>
              <w:t xml:space="preserve">2020</w:t>
            </w:r>
          </w:p>
        </w:tc>
        <w:tc>
          <w:tcPr>
            <w:tcW w:w="580" w:type="dxa"/>
          </w:tcPr>
          <w:p>
            <w:pPr>
              <w:pStyle w:val="Compact"/>
            </w:pPr>
          </w:p>
        </w:tc>
        <w:tc>
          <w:tcPr>
            <w:tcW w:w="1180" w:type="dxa"/>
          </w:tcPr>
          <w:p>
            <w:pPr>
              <w:pStyle w:val="Compact"/>
            </w:pPr>
            <w:r>
              <w:t xml:space="preserve">Открытая</w:t>
            </w:r>
          </w:p>
        </w:tc>
      </w:tr>
      <w:tr>
        <w:trPr>
          <w:cantSplit/>
        </w:trPr>
        <w:tc>
          <w:tcPr>
            <w:tcW w:w="420" w:type="dxa"/>
          </w:tcPr>
          <w:p>
            <w:pPr>
              <w:pStyle w:val="Compact"/>
            </w:pPr>
            <w:r>
              <w:t xml:space="preserve">12</w:t>
            </w:r>
          </w:p>
        </w:tc>
        <w:tc>
          <w:tcPr>
            <w:tcW w:w="3330" w:type="dxa"/>
          </w:tcPr>
          <w:p>
            <w:pPr>
              <w:pStyle w:val="Compact"/>
            </w:pPr>
            <w:r>
              <w:t xml:space="preserve">Интрамуральные лейомиомы и фертильность: систематический обзор и метаанализ</w:t>
            </w:r>
          </w:p>
        </w:tc>
        <w:tc>
          <w:tcPr>
            <w:tcW w:w="1080" w:type="dxa"/>
          </w:tcPr>
          <w:p>
            <w:pPr>
              <w:pStyle w:val="Compact"/>
            </w:pPr>
            <w:hyperlink r:id="rId141" w:history="1">
              <w:r>
                <w:rPr>
                  <w:rStyle w:val="Hyperlink"/>
                </w:rPr>
                <w:t xml:space="preserve">38935974</w:t>
              </w:r>
            </w:hyperlink>
          </w:p>
        </w:tc>
        <w:tc>
          <w:tcPr>
            <w:tcW w:w="2000" w:type="dxa"/>
          </w:tcPr>
          <w:p>
            <w:pPr>
              <w:pStyle w:val="Compact"/>
            </w:pPr>
            <w:r>
              <w:t xml:space="preserve">Obstetrics and Gynecology</w:t>
            </w:r>
          </w:p>
        </w:tc>
        <w:tc>
          <w:tcPr>
            <w:tcW w:w="680" w:type="dxa"/>
          </w:tcPr>
          <w:p>
            <w:pPr>
              <w:pStyle w:val="Compact"/>
            </w:pPr>
            <w:r>
              <w:t xml:space="preserve">2024</w:t>
            </w:r>
          </w:p>
        </w:tc>
        <w:tc>
          <w:tcPr>
            <w:tcW w:w="580" w:type="dxa"/>
          </w:tcPr>
          <w:p>
            <w:pPr>
              <w:pStyle w:val="Compact"/>
            </w:pPr>
            <w:r>
              <w:t xml:space="preserve">22</w:t>
            </w:r>
          </w:p>
        </w:tc>
        <w:tc>
          <w:tcPr>
            <w:tcW w:w="1180" w:type="dxa"/>
          </w:tcPr>
          <w:p>
            <w:pPr>
              <w:pStyle w:val="Compact"/>
            </w:pPr>
            <w:r>
              <w:t xml:space="preserve">Закрытая</w:t>
            </w:r>
          </w:p>
        </w:tc>
      </w:tr>
      <w:tr>
        <w:trPr>
          <w:cantSplit/>
        </w:trPr>
        <w:tc>
          <w:tcPr>
            <w:tcW w:w="420" w:type="dxa"/>
          </w:tcPr>
          <w:p>
            <w:pPr>
              <w:pStyle w:val="Compact"/>
            </w:pPr>
            <w:r>
              <w:t xml:space="preserve">13</w:t>
            </w:r>
          </w:p>
        </w:tc>
        <w:tc>
          <w:tcPr>
            <w:tcW w:w="3330" w:type="dxa"/>
          </w:tcPr>
          <w:p>
            <w:pPr>
              <w:pStyle w:val="Compact"/>
            </w:pPr>
            <w:r>
              <w:t xml:space="preserve">Миомэктомия при интрамуральных миомах перед циклами экстракорпорального оплодотворения/интрацитоплазматической инъекции сперматозоида: сложная задача. Систематический обзор и метаанализ</w:t>
            </w:r>
          </w:p>
        </w:tc>
        <w:tc>
          <w:tcPr>
            <w:tcW w:w="1080" w:type="dxa"/>
          </w:tcPr>
          <w:p>
            <w:pPr>
              <w:pStyle w:val="Compact"/>
            </w:pPr>
            <w:hyperlink r:id="rId142" w:history="1">
              <w:r>
                <w:rPr>
                  <w:rStyle w:val="Hyperlink"/>
                </w:rPr>
                <w:t xml:space="preserve">41408877</w:t>
              </w:r>
            </w:hyperlink>
          </w:p>
        </w:tc>
        <w:tc>
          <w:tcPr>
            <w:tcW w:w="2000" w:type="dxa"/>
          </w:tcPr>
          <w:p>
            <w:pPr>
              <w:pStyle w:val="Compact"/>
            </w:pPr>
            <w:r>
              <w:t xml:space="preserve">International Journal of Gynaecology and Obstetrics: the Official Organ of the International Federation of Gynaecology and Obstetrics</w:t>
            </w:r>
          </w:p>
        </w:tc>
        <w:tc>
          <w:tcPr>
            <w:tcW w:w="680" w:type="dxa"/>
          </w:tcPr>
          <w:p>
            <w:pPr>
              <w:pStyle w:val="Compact"/>
            </w:pPr>
            <w:r>
              <w:t xml:space="preserve">2026</w:t>
            </w:r>
          </w:p>
        </w:tc>
        <w:tc>
          <w:tcPr>
            <w:tcW w:w="580" w:type="dxa"/>
          </w:tcPr>
          <w:p>
            <w:pPr>
              <w:pStyle w:val="Compact"/>
            </w:pPr>
            <w:r>
              <w:t xml:space="preserve">0</w:t>
            </w:r>
          </w:p>
        </w:tc>
        <w:tc>
          <w:tcPr>
            <w:tcW w:w="1180" w:type="dxa"/>
          </w:tcPr>
          <w:p>
            <w:pPr>
              <w:pStyle w:val="Compact"/>
            </w:pPr>
            <w:r>
              <w:t xml:space="preserve">Закрытая</w:t>
            </w:r>
          </w:p>
        </w:tc>
      </w:tr>
      <w:tr>
        <w:trPr>
          <w:cantSplit/>
        </w:trPr>
        <w:tc>
          <w:tcPr>
            <w:tcW w:w="420" w:type="dxa"/>
          </w:tcPr>
          <w:p>
            <w:pPr>
              <w:pStyle w:val="Compact"/>
            </w:pPr>
            <w:r>
              <w:t xml:space="preserve">14</w:t>
            </w:r>
          </w:p>
        </w:tc>
        <w:tc>
          <w:tcPr>
            <w:tcW w:w="3330" w:type="dxa"/>
          </w:tcPr>
          <w:p>
            <w:pPr>
              <w:pStyle w:val="Compact"/>
            </w:pPr>
            <w:r>
              <w:t xml:space="preserve">Влияние интрамуральных миом размером ≤6 см, не деформирующих полость матки, на результаты экстракорпорального оплодотворения: систематический обзор и метаанализ</w:t>
            </w:r>
          </w:p>
        </w:tc>
        <w:tc>
          <w:tcPr>
            <w:tcW w:w="1080" w:type="dxa"/>
          </w:tcPr>
          <w:p>
            <w:pPr>
              <w:pStyle w:val="Compact"/>
            </w:pPr>
            <w:hyperlink r:id="rId143" w:history="1">
              <w:r>
                <w:rPr>
                  <w:rStyle w:val="Hyperlink"/>
                </w:rPr>
                <w:t xml:space="preserve">36813123</w:t>
              </w:r>
            </w:hyperlink>
          </w:p>
        </w:tc>
        <w:tc>
          <w:tcPr>
            <w:tcW w:w="2000" w:type="dxa"/>
          </w:tcPr>
          <w:p>
            <w:pPr>
              <w:pStyle w:val="Compact"/>
            </w:pPr>
            <w:r>
              <w:t xml:space="preserve">Fertility and Sterility</w:t>
            </w:r>
          </w:p>
        </w:tc>
        <w:tc>
          <w:tcPr>
            <w:tcW w:w="680" w:type="dxa"/>
          </w:tcPr>
          <w:p>
            <w:pPr>
              <w:pStyle w:val="Compact"/>
            </w:pPr>
            <w:r>
              <w:t xml:space="preserve">2023</w:t>
            </w:r>
          </w:p>
        </w:tc>
        <w:tc>
          <w:tcPr>
            <w:tcW w:w="580" w:type="dxa"/>
          </w:tcPr>
          <w:p>
            <w:pPr>
              <w:pStyle w:val="Compact"/>
            </w:pPr>
            <w:r>
              <w:t xml:space="preserve">40</w:t>
            </w:r>
          </w:p>
        </w:tc>
        <w:tc>
          <w:tcPr>
            <w:tcW w:w="1180" w:type="dxa"/>
          </w:tcPr>
          <w:p>
            <w:pPr>
              <w:pStyle w:val="Compact"/>
            </w:pPr>
            <w:r>
              <w:t xml:space="preserve">Открытая</w:t>
            </w:r>
          </w:p>
        </w:tc>
      </w:tr>
      <w:tr>
        <w:trPr>
          <w:cantSplit/>
        </w:trPr>
        <w:tc>
          <w:tcPr>
            <w:tcW w:w="420" w:type="dxa"/>
          </w:tcPr>
          <w:p>
            <w:pPr>
              <w:pStyle w:val="Compact"/>
            </w:pPr>
            <w:r>
              <w:t xml:space="preserve">15</w:t>
            </w:r>
          </w:p>
        </w:tc>
        <w:tc>
          <w:tcPr>
            <w:tcW w:w="3330" w:type="dxa"/>
          </w:tcPr>
          <w:p>
            <w:pPr>
              <w:pStyle w:val="Compact"/>
            </w:pPr>
            <w:r>
              <w:t xml:space="preserve">Миомы и естественная фертильность: систематический обзор и метаанализ</w:t>
            </w:r>
          </w:p>
        </w:tc>
        <w:tc>
          <w:tcPr>
            <w:tcW w:w="1080" w:type="dxa"/>
          </w:tcPr>
          <w:p>
            <w:pPr>
              <w:pStyle w:val="Compact"/>
            </w:pPr>
            <w:hyperlink r:id="rId144" w:history="1">
              <w:r>
                <w:rPr>
                  <w:rStyle w:val="Hyperlink"/>
                </w:rPr>
                <w:t xml:space="preserve">33903032</w:t>
              </w:r>
            </w:hyperlink>
          </w:p>
        </w:tc>
        <w:tc>
          <w:tcPr>
            <w:tcW w:w="2000" w:type="dxa"/>
          </w:tcPr>
          <w:p>
            <w:pPr>
              <w:pStyle w:val="Compact"/>
            </w:pPr>
            <w:r>
              <w:t xml:space="preserve">Reproductive Biomedicine Online</w:t>
            </w:r>
          </w:p>
        </w:tc>
        <w:tc>
          <w:tcPr>
            <w:tcW w:w="680" w:type="dxa"/>
          </w:tcPr>
          <w:p>
            <w:pPr>
              <w:pStyle w:val="Compact"/>
            </w:pPr>
            <w:r>
              <w:t xml:space="preserve">2021</w:t>
            </w:r>
          </w:p>
        </w:tc>
        <w:tc>
          <w:tcPr>
            <w:tcW w:w="580" w:type="dxa"/>
          </w:tcPr>
          <w:p>
            <w:pPr>
              <w:pStyle w:val="Compact"/>
            </w:pPr>
            <w:r>
              <w:t xml:space="preserve">51</w:t>
            </w:r>
          </w:p>
        </w:tc>
        <w:tc>
          <w:tcPr>
            <w:tcW w:w="1180" w:type="dxa"/>
          </w:tcPr>
          <w:p>
            <w:pPr>
              <w:pStyle w:val="Compact"/>
            </w:pPr>
            <w:r>
              <w:t xml:space="preserve">Открытая</w:t>
            </w:r>
          </w:p>
        </w:tc>
      </w:tr>
      <w:tr>
        <w:trPr>
          <w:cantSplit/>
        </w:trPr>
        <w:tc>
          <w:tcPr>
            <w:tcW w:w="420" w:type="dxa"/>
          </w:tcPr>
          <w:p>
            <w:pPr>
              <w:pStyle w:val="Compact"/>
            </w:pPr>
            <w:r>
              <w:t xml:space="preserve">16</w:t>
            </w:r>
          </w:p>
        </w:tc>
        <w:tc>
          <w:tcPr>
            <w:tcW w:w="3330" w:type="dxa"/>
          </w:tcPr>
          <w:p>
            <w:pPr>
              <w:pStyle w:val="Compact"/>
            </w:pPr>
            <w:r>
              <w:t xml:space="preserve">Внутриматочные спайки после хирургического лечения миомы: частота и стратегии профилактики. Систематический обзор</w:t>
            </w:r>
          </w:p>
        </w:tc>
        <w:tc>
          <w:tcPr>
            <w:tcW w:w="1080" w:type="dxa"/>
          </w:tcPr>
          <w:p>
            <w:pPr>
              <w:pStyle w:val="Compact"/>
            </w:pPr>
            <w:hyperlink r:id="rId145" w:history="1">
              <w:r>
                <w:rPr>
                  <w:rStyle w:val="Hyperlink"/>
                </w:rPr>
                <w:t xml:space="preserve">40938091</w:t>
              </w:r>
            </w:hyperlink>
          </w:p>
        </w:tc>
        <w:tc>
          <w:tcPr>
            <w:tcW w:w="2000" w:type="dxa"/>
          </w:tcPr>
          <w:p>
            <w:pPr>
              <w:pStyle w:val="Compact"/>
            </w:pPr>
            <w:r>
              <w:t xml:space="preserve">Minerva Obstetrics and Gynecology</w:t>
            </w:r>
          </w:p>
        </w:tc>
        <w:tc>
          <w:tcPr>
            <w:tcW w:w="680" w:type="dxa"/>
          </w:tcPr>
          <w:p>
            <w:pPr>
              <w:pStyle w:val="Compact"/>
            </w:pPr>
            <w:r>
              <w:t xml:space="preserve">2025</w:t>
            </w:r>
          </w:p>
        </w:tc>
        <w:tc>
          <w:tcPr>
            <w:tcW w:w="580" w:type="dxa"/>
          </w:tcPr>
          <w:p>
            <w:pPr>
              <w:pStyle w:val="Compact"/>
            </w:pPr>
            <w:r>
              <w:t xml:space="preserve">0</w:t>
            </w:r>
          </w:p>
        </w:tc>
        <w:tc>
          <w:tcPr>
            <w:tcW w:w="1180" w:type="dxa"/>
          </w:tcPr>
          <w:p>
            <w:pPr>
              <w:pStyle w:val="Compact"/>
            </w:pPr>
            <w:r>
              <w:t xml:space="preserve">Закрытая</w:t>
            </w:r>
          </w:p>
        </w:tc>
      </w:tr>
      <w:tr>
        <w:trPr>
          <w:cantSplit/>
        </w:trPr>
        <w:tc>
          <w:tcPr>
            <w:tcW w:w="420" w:type="dxa"/>
          </w:tcPr>
          <w:p>
            <w:pPr>
              <w:pStyle w:val="Compact"/>
            </w:pPr>
            <w:r>
              <w:t xml:space="preserve">17</w:t>
            </w:r>
          </w:p>
        </w:tc>
        <w:tc>
          <w:tcPr>
            <w:tcW w:w="3330" w:type="dxa"/>
          </w:tcPr>
          <w:p>
            <w:pPr>
              <w:pStyle w:val="Compact"/>
            </w:pPr>
            <w:r>
              <w:t xml:space="preserve">Удаление миом типов V и VI по FIGO с суммарным размером более 5 см увеличивает вероятность спонтанного зачатия в четыре раза по сравнению с миомэктомией при меньших узлах</w:t>
            </w:r>
          </w:p>
        </w:tc>
        <w:tc>
          <w:tcPr>
            <w:tcW w:w="1080" w:type="dxa"/>
          </w:tcPr>
          <w:p>
            <w:pPr>
              <w:pStyle w:val="Compact"/>
            </w:pPr>
            <w:hyperlink r:id="rId146" w:history="1">
              <w:r>
                <w:rPr>
                  <w:rStyle w:val="Hyperlink"/>
                </w:rPr>
                <w:t xml:space="preserve">40407881</w:t>
              </w:r>
            </w:hyperlink>
          </w:p>
        </w:tc>
        <w:tc>
          <w:tcPr>
            <w:tcW w:w="2000" w:type="dxa"/>
          </w:tcPr>
          <w:p>
            <w:pPr>
              <w:pStyle w:val="Compact"/>
            </w:pPr>
            <w:r>
              <w:t xml:space="preserve">Archives of Gynecology and Obstetrics</w:t>
            </w:r>
          </w:p>
        </w:tc>
        <w:tc>
          <w:tcPr>
            <w:tcW w:w="680" w:type="dxa"/>
          </w:tcPr>
          <w:p>
            <w:pPr>
              <w:pStyle w:val="Compact"/>
            </w:pPr>
            <w:r>
              <w:t xml:space="preserve">2025</w:t>
            </w:r>
          </w:p>
        </w:tc>
        <w:tc>
          <w:tcPr>
            <w:tcW w:w="580" w:type="dxa"/>
          </w:tcPr>
          <w:p>
            <w:pPr>
              <w:pStyle w:val="Compact"/>
            </w:pPr>
            <w:r>
              <w:t xml:space="preserve">0</w:t>
            </w:r>
          </w:p>
        </w:tc>
        <w:tc>
          <w:tcPr>
            <w:tcW w:w="1180" w:type="dxa"/>
          </w:tcPr>
          <w:p>
            <w:pPr>
              <w:pStyle w:val="Compact"/>
            </w:pPr>
            <w:r>
              <w:t xml:space="preserve">Открытая</w:t>
            </w:r>
          </w:p>
        </w:tc>
      </w:tr>
      <w:tr>
        <w:trPr>
          <w:cantSplit/>
        </w:trPr>
        <w:tc>
          <w:tcPr>
            <w:tcW w:w="420" w:type="dxa"/>
          </w:tcPr>
          <w:p>
            <w:pPr>
              <w:pStyle w:val="Compact"/>
            </w:pPr>
            <w:r>
              <w:t xml:space="preserve">18</w:t>
            </w:r>
          </w:p>
        </w:tc>
        <w:tc>
          <w:tcPr>
            <w:tcW w:w="3330" w:type="dxa"/>
          </w:tcPr>
          <w:p>
            <w:pPr>
              <w:pStyle w:val="Compact"/>
            </w:pPr>
            <w:r>
              <w:t xml:space="preserve">Клинические рекомендации «Миома матки»</w:t>
            </w:r>
          </w:p>
        </w:tc>
        <w:tc>
          <w:tcPr>
            <w:tcW w:w="1080" w:type="dxa"/>
          </w:tcPr>
          <w:p>
            <w:pPr>
              <w:pStyle w:val="Compact"/>
            </w:pPr>
            <w:hyperlink r:id="rId102" w:history="1">
              <w:r>
                <w:rPr>
                  <w:rStyle w:val="Hyperlink"/>
                </w:rPr>
                <w:t xml:space="preserve">источник</w:t>
              </w:r>
            </w:hyperlink>
          </w:p>
        </w:tc>
        <w:tc>
          <w:tcPr>
            <w:tcW w:w="2000" w:type="dxa"/>
          </w:tcPr>
          <w:p>
            <w:pPr>
              <w:pStyle w:val="Compact"/>
            </w:pPr>
            <w:r>
              <w:t xml:space="preserve">Минздрав России; РОАГ</w:t>
            </w:r>
          </w:p>
        </w:tc>
        <w:tc>
          <w:tcPr>
            <w:tcW w:w="680" w:type="dxa"/>
          </w:tcPr>
          <w:p>
            <w:pPr>
              <w:pStyle w:val="Compact"/>
            </w:pPr>
            <w:r>
              <w:t xml:space="preserve">2024</w:t>
            </w:r>
          </w:p>
        </w:tc>
        <w:tc>
          <w:tcPr>
            <w:tcW w:w="580" w:type="dxa"/>
          </w:tcPr>
          <w:p>
            <w:pPr>
              <w:pStyle w:val="Compact"/>
            </w:pPr>
          </w:p>
        </w:tc>
        <w:tc>
          <w:tcPr>
            <w:tcW w:w="1180" w:type="dxa"/>
          </w:tcPr>
          <w:p>
            <w:pPr>
              <w:pStyle w:val="Compact"/>
            </w:pPr>
            <w:r>
              <w:t xml:space="preserve">Открытая</w:t>
            </w:r>
          </w:p>
        </w:tc>
      </w:tr>
    </w:tbl>
    <w:p>
      <w:pPr>
        <w:pStyle w:val="Compact"/>
      </w:pPr>
    </w:p>
    <w:p>
      <w:pPr>
        <w:pStyle w:val="Heading2"/>
        <w:keepNext/>
      </w:pPr>
      <w:r>
        <w:t xml:space="preserve">9. Удаление миом у бессимптомных пациенток для улучшения фертильности и/или снижения частоты выкидышей: клинические рекомендации</w:t>
      </w:r>
    </w:p>
    <w:p>
      <w:pPr>
        <w:pStyle w:val="Keep"/>
        <w:keepNext/>
      </w:pPr>
      <w:r>
        <w:rPr>
          <w:i/>
          <w:iCs/>
        </w:rPr>
        <w:t xml:space="preserve">Removal of myomas in asymptomatic patients to improve fertility and/or reduce miscarriage rate: a guideline.</w:t>
      </w:r>
    </w:p>
    <w:p>
      <w:pPr>
        <w:pStyle w:val="BodyText"/>
      </w:pPr>
      <w:r>
        <w:rPr>
          <w:b/>
          <w:bCs/>
        </w:rPr>
        <w:t xml:space="preserve">Журнал</w:t>
      </w:r>
      <w:r>
        <w:t xml:space="preserve">: Fertility and Sterility, 2017-Sep | </w:t>
      </w:r>
      <w:r>
        <w:rPr>
          <w:b/>
          <w:bCs/>
        </w:rPr>
        <w:t xml:space="preserve">Тип</w:t>
      </w:r>
      <w:r>
        <w:t xml:space="preserve">: Клинические рекомендации на основе систематического обзора | </w:t>
      </w:r>
      <w:r>
        <w:rPr>
          <w:b/>
          <w:bCs/>
        </w:rPr>
        <w:t xml:space="preserve">Доступ</w:t>
      </w:r>
      <w:r>
        <w:t xml:space="preserve">: Открытая | </w:t>
      </w:r>
      <w:r>
        <w:rPr>
          <w:b/>
          <w:bCs/>
        </w:rPr>
        <w:t xml:space="preserve">Лицензия</w:t>
      </w:r>
      <w:r>
        <w:t xml:space="preserve">: Без открытой лицензии | </w:t>
      </w:r>
      <w:r>
        <w:rPr>
          <w:b/>
          <w:bCs/>
        </w:rPr>
        <w:t xml:space="preserve">Цитирований</w:t>
      </w:r>
      <w:r>
        <w:t xml:space="preserve">: 182</w:t>
      </w:r>
    </w:p>
    <w:p>
      <w:pPr>
        <w:pStyle w:val="Keep"/>
        <w:keepNext/>
      </w:pPr>
      <w:r>
        <w:t xml:space="preserve">Руководство ASRM прямо рассматривает бессимптомную миому и репродуктивные исходы. Гистероскопическое удаление субмукозных узлов поддержано для повышения частоты клинической беременности, категория B, но доказательств увеличения живорождения недостаточно. Руководство допускает миомэктомию при деформации полости и обычно не рекомендует её бессимптомным женщинам с бесплодием без деформации полости.</w:t>
      </w:r>
    </w:p>
    <w:p>
      <w:pPr>
        <w:pStyle w:val="Actions"/>
      </w:pPr>
      <w:hyperlink r:id="rId103" w:history="1">
        <w:r>
          <w:rPr>
            <w:rStyle w:val="Hyperlink"/>
          </w:rPr>
          <w:t xml:space="preserve">Оригинал</w:t>
        </w:r>
      </w:hyperlink>
      <w:r>
        <w:t xml:space="preserve"> · </w:t>
      </w:r>
      <w:hyperlink r:id="rId147" w:history="1">
        <w:r>
          <w:rPr>
            <w:rStyle w:val="Hyperlink"/>
          </w:rPr>
          <w:t xml:space="preserve">Аннотация на русском</w:t>
        </w:r>
      </w:hyperlink>
    </w:p>
    <w:p>
      <w:pPr>
        <w:pStyle w:val="Heading2"/>
        <w:keepNext/>
      </w:pPr>
      <w:r>
        <w:t xml:space="preserve">10. Ведение пациенток с миомой матки и бесплодием, не объяснимым другими причинами</w:t>
      </w:r>
    </w:p>
    <w:p>
      <w:pPr>
        <w:pStyle w:val="Keep"/>
        <w:keepNext/>
      </w:pPr>
      <w:r>
        <w:rPr>
          <w:i/>
          <w:iCs/>
        </w:rPr>
        <w:t xml:space="preserve">The management of uterine fibroids in women with otherwise unexplained infertility.</w:t>
      </w:r>
    </w:p>
    <w:p>
      <w:pPr>
        <w:pStyle w:val="BodyText"/>
      </w:pPr>
      <w:r>
        <w:rPr>
          <w:b/>
          <w:bCs/>
        </w:rPr>
        <w:t xml:space="preserve">Журнал</w:t>
      </w:r>
      <w:r>
        <w:t xml:space="preserve">: Journal of Obstetrics and Gynaecology Canada : JOGC = Journal D'obstetrique Et Gynecologie Du Canada : JOGC, 2015-Mar | </w:t>
      </w:r>
      <w:r>
        <w:rPr>
          <w:b/>
          <w:bCs/>
        </w:rPr>
        <w:t xml:space="preserve">Тип</w:t>
      </w:r>
      <w:r>
        <w:t xml:space="preserve">: Клинические рекомендации | </w:t>
      </w:r>
      <w:r>
        <w:rPr>
          <w:b/>
          <w:bCs/>
        </w:rPr>
        <w:t xml:space="preserve">Доступ</w:t>
      </w:r>
      <w:r>
        <w:t xml:space="preserve">: Открытая | </w:t>
      </w:r>
      <w:r>
        <w:rPr>
          <w:b/>
          <w:bCs/>
        </w:rPr>
        <w:t xml:space="preserve">Лицензия</w:t>
      </w:r>
      <w:r>
        <w:t xml:space="preserve">: Без открытой лицензии | </w:t>
      </w:r>
      <w:r>
        <w:rPr>
          <w:b/>
          <w:bCs/>
        </w:rPr>
        <w:t xml:space="preserve">Цитирований</w:t>
      </w:r>
      <w:r>
        <w:t xml:space="preserve">: 192</w:t>
      </w:r>
    </w:p>
    <w:p>
      <w:pPr>
        <w:pStyle w:val="Keep"/>
        <w:keepNext/>
      </w:pPr>
      <w:r>
        <w:t xml:space="preserve">Канадское руководство предлагает сначала классифицировать узлы и оценить их отношение к полости матки. При необъяснимом бесплодии рекомендует удаление субмукозных, но не субсерозных узлов; гистероскопический подход описан преимущественно для размера &lt;5 см. Документ дополняет практическую часть требованиями к предоперационной оценке и выбору хирургического подхода, однако доказательная база охватывает литературу только до ноября 2013 года.</w:t>
      </w:r>
    </w:p>
    <w:p>
      <w:pPr>
        <w:pStyle w:val="Actions"/>
      </w:pPr>
      <w:hyperlink r:id="rId137" w:history="1">
        <w:r>
          <w:rPr>
            <w:rStyle w:val="Hyperlink"/>
          </w:rPr>
          <w:t xml:space="preserve">Оригинал</w:t>
        </w:r>
      </w:hyperlink>
      <w:r>
        <w:t xml:space="preserve"> · </w:t>
      </w:r>
      <w:hyperlink r:id="rId148" w:history="1">
        <w:r>
          <w:rPr>
            <w:rStyle w:val="Hyperlink"/>
          </w:rPr>
          <w:t xml:space="preserve">Аннотация на русском</w:t>
        </w:r>
      </w:hyperlink>
    </w:p>
    <w:p>
      <w:pPr>
        <w:pStyle w:val="Heading2"/>
        <w:keepNext/>
      </w:pPr>
      <w:r>
        <w:t xml:space="preserve">11. Хирургическое лечение миомы при сниженной фертильности</w:t>
      </w:r>
    </w:p>
    <w:p>
      <w:pPr>
        <w:pStyle w:val="Keep"/>
        <w:keepNext/>
      </w:pPr>
      <w:r>
        <w:rPr>
          <w:i/>
          <w:iCs/>
        </w:rPr>
        <w:t xml:space="preserve">Surgical treatment of fibroids for subfertility.</w:t>
      </w:r>
    </w:p>
    <w:p>
      <w:pPr>
        <w:pStyle w:val="BodyText"/>
      </w:pPr>
      <w:r>
        <w:rPr>
          <w:b/>
          <w:bCs/>
        </w:rPr>
        <w:t xml:space="preserve">Журнал</w:t>
      </w:r>
      <w:r>
        <w:t xml:space="preserve">: The Cochrane Database of Systematic Reviews, 2020-Jan-29 | </w:t>
      </w:r>
      <w:r>
        <w:rPr>
          <w:b/>
          <w:bCs/>
        </w:rPr>
        <w:t xml:space="preserve">Тип</w:t>
      </w:r>
      <w:r>
        <w:t xml:space="preserve">: Кокрейновский систематический обзор РКИ | </w:t>
      </w:r>
      <w:r>
        <w:rPr>
          <w:b/>
          <w:bCs/>
        </w:rPr>
        <w:t xml:space="preserve">Доступ</w:t>
      </w:r>
      <w:r>
        <w:t xml:space="preserve">: Открытая</w:t>
      </w:r>
    </w:p>
    <w:p>
      <w:pPr>
        <w:pStyle w:val="Keep"/>
        <w:keepNext/>
      </w:pPr>
      <w:r>
        <w:t xml:space="preserve">Обзор включил четыре РКИ с 442 участницами, но только одно сравнивало миомэктомию с отсутствием вмешательства; остальные сопоставляли хирургические подходы. Для субмукозных узлов ОШ клинической беременности составила 2,04, 95% ДИ 0,62–6,66, n=52; живорождение в прямом сравнении не оценивали. Очень низкая достоверность и широкие интервалы не позволяют считать репродуктивную пользу операции убедительно установленной.</w:t>
      </w:r>
    </w:p>
    <w:p>
      <w:pPr>
        <w:pStyle w:val="Actions"/>
      </w:pPr>
      <w:hyperlink r:id="rId104" w:history="1">
        <w:r>
          <w:rPr>
            <w:rStyle w:val="Hyperlink"/>
          </w:rPr>
          <w:t xml:space="preserve">Оригинал</w:t>
        </w:r>
      </w:hyperlink>
      <w:r>
        <w:t xml:space="preserve"> · </w:t>
      </w:r>
      <w:hyperlink r:id="rId149" w:history="1">
        <w:r>
          <w:rPr>
            <w:rStyle w:val="Hyperlink"/>
          </w:rPr>
          <w:t xml:space="preserve">Аннотация на русском</w:t>
        </w:r>
      </w:hyperlink>
    </w:p>
    <w:p>
      <w:pPr>
        <w:pStyle w:val="Heading2"/>
        <w:keepNext/>
      </w:pPr>
      <w:r>
        <w:t xml:space="preserve">12. Интрамуральные лейомиомы и фертильность: систематический обзор и метаанализ</w:t>
      </w:r>
    </w:p>
    <w:p>
      <w:pPr>
        <w:pStyle w:val="Keep"/>
        <w:keepNext/>
      </w:pPr>
      <w:r>
        <w:rPr>
          <w:i/>
          <w:iCs/>
        </w:rPr>
        <w:t xml:space="preserve">Intramural Leiomyomas and Fertility: A Systematic Review and Meta-Analysis.</w:t>
      </w:r>
    </w:p>
    <w:p>
      <w:pPr>
        <w:pStyle w:val="BodyText"/>
      </w:pPr>
      <w:r>
        <w:rPr>
          <w:b/>
          <w:bCs/>
        </w:rPr>
        <w:t xml:space="preserve">Журнал</w:t>
      </w:r>
      <w:r>
        <w:t xml:space="preserve">: Obstetrics and Gynecology, 2024-Aug-01 | </w:t>
      </w:r>
      <w:r>
        <w:rPr>
          <w:b/>
          <w:bCs/>
        </w:rPr>
        <w:t xml:space="preserve">Тип</w:t>
      </w:r>
      <w:r>
        <w:t xml:space="preserve">: Систематический обзор и метаанализ наблюдательных исследований | </w:t>
      </w:r>
      <w:r>
        <w:rPr>
          <w:b/>
          <w:bCs/>
        </w:rPr>
        <w:t xml:space="preserve">Доступ</w:t>
      </w:r>
      <w:r>
        <w:t xml:space="preserve">: Закрытая | </w:t>
      </w:r>
      <w:r>
        <w:rPr>
          <w:b/>
          <w:bCs/>
        </w:rPr>
        <w:t xml:space="preserve">Цитирований</w:t>
      </w:r>
      <w:r>
        <w:t xml:space="preserve">: 22</w:t>
      </w:r>
    </w:p>
    <w:p>
      <w:pPr>
        <w:pStyle w:val="Keep"/>
        <w:keepNext/>
      </w:pPr>
      <w:r>
        <w:t xml:space="preserve">Анализ 13 исследовательских групп связывает интрамуральные узлы с худшими репродуктивными исходами, но не устанавливает причинность. В сравнении удаления с сохранением узлов ОШ клинической беременности составила 1,10, 95% ДИ 0,77–1,59: преимущество операции не продемонстрировано. Работа помогает отделить связь миомы с исходом от доказательств пользы её удаления.</w:t>
      </w:r>
    </w:p>
    <w:p>
      <w:pPr>
        <w:pStyle w:val="Actions"/>
      </w:pPr>
      <w:hyperlink r:id="rId105" w:history="1">
        <w:r>
          <w:rPr>
            <w:rStyle w:val="Hyperlink"/>
          </w:rPr>
          <w:t xml:space="preserve">Оригинал</w:t>
        </w:r>
      </w:hyperlink>
      <w:r>
        <w:t xml:space="preserve"> · </w:t>
      </w:r>
      <w:hyperlink r:id="rId150" w:history="1">
        <w:r>
          <w:rPr>
            <w:rStyle w:val="Hyperlink"/>
          </w:rPr>
          <w:t xml:space="preserve">Аннотация на русском</w:t>
        </w:r>
      </w:hyperlink>
    </w:p>
    <w:p>
      <w:pPr>
        <w:pStyle w:val="Heading2"/>
        <w:keepNext/>
      </w:pPr>
      <w:r>
        <w:t xml:space="preserve">13. Миомэктомия при интрамуральных миомах перед циклами экстракорпорального оплодотворения/интрацитоплазматической инъекции сперматозоида: сложная задача. Систематический обзор и метаанализ</w:t>
      </w:r>
    </w:p>
    <w:p>
      <w:pPr>
        <w:pStyle w:val="Keep"/>
        <w:keepNext/>
      </w:pPr>
      <w:r>
        <w:rPr>
          <w:i/>
          <w:iCs/>
        </w:rPr>
        <w:t xml:space="preserve">Myomectomy for intramural fibroids prior to in vitro fertilization/intracytoplasmic sperm injection cycles, a conundrum: Systematic review and meta-analysis.</w:t>
      </w:r>
    </w:p>
    <w:p>
      <w:pPr>
        <w:pStyle w:val="BodyText"/>
      </w:pPr>
      <w:r>
        <w:rPr>
          <w:b/>
          <w:bCs/>
        </w:rPr>
        <w:t xml:space="preserve">Журнал</w:t>
      </w:r>
      <w:r>
        <w:t xml:space="preserve">: International Journal of Gynaecology and Obstetrics: the Official Organ of the International Federation of Gynaecology and Obstetrics, 2026-Jun | </w:t>
      </w:r>
      <w:r>
        <w:rPr>
          <w:b/>
          <w:bCs/>
        </w:rPr>
        <w:t xml:space="preserve">Тип</w:t>
      </w:r>
      <w:r>
        <w:t xml:space="preserve">: Систематический обзор и метаанализ нерандомизированных исследований | </w:t>
      </w:r>
      <w:r>
        <w:rPr>
          <w:b/>
          <w:bCs/>
        </w:rPr>
        <w:t xml:space="preserve">Доступ</w:t>
      </w:r>
      <w:r>
        <w:t xml:space="preserve">: Закрытая | </w:t>
      </w:r>
      <w:r>
        <w:rPr>
          <w:b/>
          <w:bCs/>
        </w:rPr>
        <w:t xml:space="preserve">Лицензия</w:t>
      </w:r>
      <w:r>
        <w:t xml:space="preserve">: Без открытой лицензии | </w:t>
      </w:r>
      <w:r>
        <w:rPr>
          <w:b/>
          <w:bCs/>
        </w:rPr>
        <w:t xml:space="preserve">Цитирований</w:t>
      </w:r>
      <w:r>
        <w:t xml:space="preserve">: 0</w:t>
      </w:r>
    </w:p>
    <w:p>
      <w:pPr>
        <w:pStyle w:val="Keep"/>
        <w:keepNext/>
      </w:pPr>
      <w:r>
        <w:t xml:space="preserve">Метаанализ семи нерандомизированных исследований с 1644 женщинами сравнивает миомэктомию с отсутствием операции перед ЭКО/ИКСИ. Продолжающаяся беременность или живорождение чаще отмечались после операции: относительный риск 1,64, 95% ДИ 1,15–2,33. Работа дополняет прежние оценки клинической беременности положительной связью с другим исходом, но неодинаковая классификация узлов и представление исходов, а также отсутствие рандомизации не устанавливают причинную пользу удаления.</w:t>
      </w:r>
    </w:p>
    <w:p>
      <w:pPr>
        <w:pStyle w:val="Actions"/>
      </w:pPr>
      <w:hyperlink r:id="rId106" w:history="1">
        <w:r>
          <w:rPr>
            <w:rStyle w:val="Hyperlink"/>
          </w:rPr>
          <w:t xml:space="preserve">Оригинал</w:t>
        </w:r>
      </w:hyperlink>
      <w:r>
        <w:t xml:space="preserve"> · </w:t>
      </w:r>
      <w:hyperlink r:id="rId151" w:history="1">
        <w:r>
          <w:rPr>
            <w:rStyle w:val="Hyperlink"/>
          </w:rPr>
          <w:t xml:space="preserve">Аннотация на русском</w:t>
        </w:r>
      </w:hyperlink>
    </w:p>
    <w:p>
      <w:pPr>
        <w:pStyle w:val="Heading2"/>
        <w:keepNext/>
      </w:pPr>
      <w:r>
        <w:t xml:space="preserve">14. Влияние интрамуральных миом размером ≤6 см, не деформирующих полость матки, на результаты экстракорпорального оплодотворения: систематический обзор и метаанализ</w:t>
      </w:r>
    </w:p>
    <w:p>
      <w:pPr>
        <w:pStyle w:val="Keep"/>
        <w:keepNext/>
      </w:pPr>
      <w:r>
        <w:rPr>
          <w:i/>
          <w:iCs/>
        </w:rPr>
        <w:t xml:space="preserve">The effect of ≤6 cm sized noncavity-distorting intramural fibroids on in vitro fertilization outcomes: a systematic review and meta-analysis.</w:t>
      </w:r>
    </w:p>
    <w:p>
      <w:pPr>
        <w:pStyle w:val="BodyText"/>
      </w:pPr>
      <w:r>
        <w:rPr>
          <w:b/>
          <w:bCs/>
        </w:rPr>
        <w:t xml:space="preserve">Журнал</w:t>
      </w:r>
      <w:r>
        <w:t xml:space="preserve">: Fertility and Sterility, 2023-Jun | </w:t>
      </w:r>
      <w:r>
        <w:rPr>
          <w:b/>
          <w:bCs/>
        </w:rPr>
        <w:t xml:space="preserve">Тип</w:t>
      </w:r>
      <w:r>
        <w:t xml:space="preserve">: Систематический обзор и метаанализ наблюдательных исследований | </w:t>
      </w:r>
      <w:r>
        <w:rPr>
          <w:b/>
          <w:bCs/>
        </w:rPr>
        <w:t xml:space="preserve">Доступ</w:t>
      </w:r>
      <w:r>
        <w:t xml:space="preserve">: Открытая | </w:t>
      </w:r>
      <w:r>
        <w:rPr>
          <w:b/>
          <w:bCs/>
        </w:rPr>
        <w:t xml:space="preserve">Лицензия</w:t>
      </w:r>
      <w:r>
        <w:t xml:space="preserve">: Без открытой лицензии | </w:t>
      </w:r>
      <w:r>
        <w:rPr>
          <w:b/>
          <w:bCs/>
        </w:rPr>
        <w:t xml:space="preserve">Цитирований</w:t>
      </w:r>
      <w:r>
        <w:t xml:space="preserve">: 40</w:t>
      </w:r>
    </w:p>
    <w:p>
      <w:pPr>
        <w:pStyle w:val="Keep"/>
        <w:keepNext/>
      </w:pPr>
      <w:r>
        <w:t xml:space="preserve">В пяти исследованиях сопоставили 520 женщин с миомами без деформации полости и 1392 женщины без миом. По трём исследованиям ОШ живорождения при узлах ≤6 см составила 0,48, 95% ДИ 0,36–0,65, I²=0%; достоверность низкая. Сравнение относится к ЭКО и наличию миомы, а не к операции, поэтому не доказывает пользу предшествующей миомэктомии.</w:t>
      </w:r>
    </w:p>
    <w:p>
      <w:pPr>
        <w:pStyle w:val="Actions"/>
      </w:pPr>
      <w:hyperlink r:id="rId110" w:history="1">
        <w:r>
          <w:rPr>
            <w:rStyle w:val="Hyperlink"/>
          </w:rPr>
          <w:t xml:space="preserve">Оригинал</w:t>
        </w:r>
      </w:hyperlink>
      <w:r>
        <w:t xml:space="preserve"> · </w:t>
      </w:r>
      <w:hyperlink r:id="rId152" w:history="1">
        <w:r>
          <w:rPr>
            <w:rStyle w:val="Hyperlink"/>
          </w:rPr>
          <w:t xml:space="preserve">Аннотация на русском</w:t>
        </w:r>
      </w:hyperlink>
    </w:p>
    <w:p>
      <w:pPr>
        <w:pStyle w:val="Heading2"/>
        <w:keepNext/>
      </w:pPr>
      <w:r>
        <w:t xml:space="preserve">15. Миомы и естественная фертильность: систематический обзор и метаанализ</w:t>
      </w:r>
    </w:p>
    <w:p>
      <w:pPr>
        <w:pStyle w:val="Keep"/>
        <w:keepNext/>
      </w:pPr>
      <w:r>
        <w:rPr>
          <w:i/>
          <w:iCs/>
        </w:rPr>
        <w:t xml:space="preserve">Fibroids and natural fertility: a systematic review and meta-analysis.</w:t>
      </w:r>
    </w:p>
    <w:p>
      <w:pPr>
        <w:pStyle w:val="BodyText"/>
      </w:pPr>
      <w:r>
        <w:rPr>
          <w:b/>
          <w:bCs/>
        </w:rPr>
        <w:t xml:space="preserve">Журнал</w:t>
      </w:r>
      <w:r>
        <w:t xml:space="preserve">: Reproductive Biomedicine Online, 2021-Jul | </w:t>
      </w:r>
      <w:r>
        <w:rPr>
          <w:b/>
          <w:bCs/>
        </w:rPr>
        <w:t xml:space="preserve">Тип</w:t>
      </w:r>
      <w:r>
        <w:t xml:space="preserve">: Систематический обзор и метаанализ | </w:t>
      </w:r>
      <w:r>
        <w:rPr>
          <w:b/>
          <w:bCs/>
        </w:rPr>
        <w:t xml:space="preserve">Доступ</w:t>
      </w:r>
      <w:r>
        <w:t xml:space="preserve">: Открытая | </w:t>
      </w:r>
      <w:r>
        <w:rPr>
          <w:b/>
          <w:bCs/>
        </w:rPr>
        <w:t xml:space="preserve">Лицензия</w:t>
      </w:r>
      <w:r>
        <w:t xml:space="preserve">: Без открытой лицензии | </w:t>
      </w:r>
      <w:r>
        <w:rPr>
          <w:b/>
          <w:bCs/>
        </w:rPr>
        <w:t xml:space="preserve">Цитирований</w:t>
      </w:r>
      <w:r>
        <w:t xml:space="preserve">: 51</w:t>
      </w:r>
    </w:p>
    <w:p>
      <w:pPr>
        <w:pStyle w:val="Keep"/>
        <w:keepNext/>
      </w:pPr>
      <w:r>
        <w:t xml:space="preserve">Из 11 исследований семь преимущественно проверяли связь предшествующего бесплодия с миомой, а не влияние миомы на зачатие. В двух наиболее информативных исследованиях времени до беременности объединённая ОШ наличия миомы у женщин со сниженной фертильностью составила 1,93, 95% ДИ 0,89–4,18. Источник показывает, что прямых данных о естественном зачатии мало, а результаты ЭКО на эту ситуацию напрямую не переносятся.</w:t>
      </w:r>
    </w:p>
    <w:p>
      <w:pPr>
        <w:pStyle w:val="Actions"/>
      </w:pPr>
      <w:hyperlink r:id="rId135" w:history="1">
        <w:r>
          <w:rPr>
            <w:rStyle w:val="Hyperlink"/>
          </w:rPr>
          <w:t xml:space="preserve">Оригинал</w:t>
        </w:r>
      </w:hyperlink>
      <w:r>
        <w:t xml:space="preserve"> · </w:t>
      </w:r>
      <w:hyperlink r:id="rId153" w:history="1">
        <w:r>
          <w:rPr>
            <w:rStyle w:val="Hyperlink"/>
          </w:rPr>
          <w:t xml:space="preserve">Аннотация на русском</w:t>
        </w:r>
      </w:hyperlink>
    </w:p>
    <w:p>
      <w:pPr>
        <w:pStyle w:val="Heading2"/>
        <w:keepNext/>
      </w:pPr>
      <w:r>
        <w:t xml:space="preserve">16. Внутриматочные спайки после хирургического лечения миомы: частота и стратегии профилактики. Систематический обзор</w:t>
      </w:r>
    </w:p>
    <w:p>
      <w:pPr>
        <w:pStyle w:val="Keep"/>
        <w:keepNext/>
      </w:pPr>
      <w:r>
        <w:rPr>
          <w:i/>
          <w:iCs/>
        </w:rPr>
        <w:t xml:space="preserve">Intrauterine adhesions following fibroid surgery: incidence and prevention strategies. A systematic review.</w:t>
      </w:r>
    </w:p>
    <w:p>
      <w:pPr>
        <w:pStyle w:val="BodyText"/>
      </w:pPr>
      <w:r>
        <w:rPr>
          <w:b/>
          <w:bCs/>
        </w:rPr>
        <w:t xml:space="preserve">Журнал</w:t>
      </w:r>
      <w:r>
        <w:t xml:space="preserve">: Minerva Obstetrics and Gynecology, 2025-Dec | </w:t>
      </w:r>
      <w:r>
        <w:rPr>
          <w:b/>
          <w:bCs/>
        </w:rPr>
        <w:t xml:space="preserve">Тип</w:t>
      </w:r>
      <w:r>
        <w:t xml:space="preserve">: Систематический обзор | </w:t>
      </w:r>
      <w:r>
        <w:rPr>
          <w:b/>
          <w:bCs/>
        </w:rPr>
        <w:t xml:space="preserve">Доступ</w:t>
      </w:r>
      <w:r>
        <w:t xml:space="preserve">: Закрытая | </w:t>
      </w:r>
      <w:r>
        <w:rPr>
          <w:b/>
          <w:bCs/>
        </w:rPr>
        <w:t xml:space="preserve">Цитирований</w:t>
      </w:r>
      <w:r>
        <w:t xml:space="preserve">: 0</w:t>
      </w:r>
    </w:p>
    <w:p>
      <w:pPr>
        <w:pStyle w:val="Keep"/>
        <w:keepNext/>
      </w:pPr>
      <w:r>
        <w:t xml:space="preserve">В 23 исследованиях с 2437 случаями спайки оценивали при повторной гистероскопии, обычно через 4 недели–3 месяца. Средняя сообщённая частота составила 9,4% после гистероскопии, 12,8% после лапароскопической или роботической миомэктомии и 18,3% после открытой операции. Это данные о потенциальном репродуктивном вреде, но не рандомизированное сравнение доступов.</w:t>
      </w:r>
    </w:p>
    <w:p>
      <w:pPr>
        <w:pStyle w:val="Actions"/>
      </w:pPr>
      <w:hyperlink r:id="rId114" w:history="1">
        <w:r>
          <w:rPr>
            <w:rStyle w:val="Hyperlink"/>
          </w:rPr>
          <w:t xml:space="preserve">Оригинал</w:t>
        </w:r>
      </w:hyperlink>
      <w:r>
        <w:t xml:space="preserve"> · </w:t>
      </w:r>
      <w:hyperlink r:id="rId154" w:history="1">
        <w:r>
          <w:rPr>
            <w:rStyle w:val="Hyperlink"/>
          </w:rPr>
          <w:t xml:space="preserve">Аннотация на русском</w:t>
        </w:r>
      </w:hyperlink>
    </w:p>
    <w:p>
      <w:pPr>
        <w:pStyle w:val="Heading2"/>
        <w:keepNext/>
      </w:pPr>
      <w:r>
        <w:t xml:space="preserve">17. Удаление миом типов V и VI по FIGO с суммарным размером более 5 см увеличивает вероятность спонтанного зачатия в четыре раза по сравнению с миомэктомией при меньших узлах</w:t>
      </w:r>
    </w:p>
    <w:p>
      <w:pPr>
        <w:pStyle w:val="Keep"/>
        <w:keepNext/>
      </w:pPr>
      <w:r>
        <w:rPr>
          <w:i/>
          <w:iCs/>
        </w:rPr>
        <w:t xml:space="preserve">Removal of FIGO V and VI fibroids with a combined size greater than 5 cm quadruples spontaneous fecundity relative to myomectomy for those with smaller fibroids.</w:t>
      </w:r>
    </w:p>
    <w:p>
      <w:pPr>
        <w:pStyle w:val="BodyText"/>
      </w:pPr>
      <w:r>
        <w:rPr>
          <w:b/>
          <w:bCs/>
        </w:rPr>
        <w:t xml:space="preserve">Журнал</w:t>
      </w:r>
      <w:r>
        <w:t xml:space="preserve">: Archives of Gynecology and Obstetrics, 2025-Aug | </w:t>
      </w:r>
      <w:r>
        <w:rPr>
          <w:b/>
          <w:bCs/>
        </w:rPr>
        <w:t xml:space="preserve">Тип</w:t>
      </w:r>
      <w:r>
        <w:t xml:space="preserve">: Ретроспективное когортное исследование | </w:t>
      </w:r>
      <w:r>
        <w:rPr>
          <w:b/>
          <w:bCs/>
        </w:rPr>
        <w:t xml:space="preserve">Доступ</w:t>
      </w:r>
      <w:r>
        <w:t xml:space="preserve">: Открытая | </w:t>
      </w:r>
      <w:r>
        <w:rPr>
          <w:b/>
          <w:bCs/>
        </w:rPr>
        <w:t xml:space="preserve">Лицензия</w:t>
      </w:r>
      <w:r>
        <w:t xml:space="preserve">: CC-BY | </w:t>
      </w:r>
      <w:r>
        <w:rPr>
          <w:b/>
          <w:bCs/>
        </w:rPr>
        <w:t xml:space="preserve">Цитирований</w:t>
      </w:r>
      <w:r>
        <w:t xml:space="preserve">: 0</w:t>
      </w:r>
    </w:p>
    <w:p>
      <w:pPr>
        <w:pStyle w:val="Keep"/>
        <w:keepNext/>
      </w:pPr>
      <w:r>
        <w:t xml:space="preserve">Все 80 женщин с бесплодием и субсерозными узлами перенесли миомэктомию. Клиническая беременность наступила у 34 из 65 женщин с суммарным диаметром ≥5 см и у 2 из 15 с меньшим размером; наблюдение без операции не сравнивали. Работа оставлена как новое исследование спорной подгруппы; её название не означает доказанной пользы операции.</w:t>
      </w:r>
    </w:p>
    <w:p>
      <w:pPr>
        <w:pStyle w:val="Actions"/>
      </w:pPr>
      <w:hyperlink r:id="rId136" w:history="1">
        <w:r>
          <w:rPr>
            <w:rStyle w:val="Hyperlink"/>
          </w:rPr>
          <w:t xml:space="preserve">Оригинал</w:t>
        </w:r>
      </w:hyperlink>
      <w:r>
        <w:t xml:space="preserve"> · </w:t>
      </w:r>
      <w:hyperlink r:id="rId155" w:history="1">
        <w:r>
          <w:rPr>
            <w:rStyle w:val="Hyperlink"/>
          </w:rPr>
          <w:t xml:space="preserve">Аннотация на русском</w:t>
        </w:r>
      </w:hyperlink>
    </w:p>
    <w:p>
      <w:pPr>
        <w:pStyle w:val="Heading2"/>
        <w:keepNext/>
      </w:pPr>
      <w:r>
        <w:t xml:space="preserve">18. Клинические рекомендации «Миома матки»</w:t>
      </w:r>
    </w:p>
    <w:p>
      <w:pPr>
        <w:pStyle w:val="Keep"/>
        <w:keepNext/>
      </w:pPr>
      <w:r>
        <w:rPr>
          <w:i/>
          <w:iCs/>
        </w:rPr>
        <w:t xml:space="preserve">Клинические рекомендации «Миома матки»</w:t>
      </w:r>
    </w:p>
    <w:p>
      <w:pPr>
        <w:pStyle w:val="BodyText"/>
      </w:pPr>
      <w:r>
        <w:rPr>
          <w:b/>
          <w:bCs/>
        </w:rPr>
        <w:t xml:space="preserve">Журнал</w:t>
      </w:r>
      <w:r>
        <w:t xml:space="preserve">: Минздрав России; РОАГ, 2024 | </w:t>
      </w:r>
      <w:r>
        <w:rPr>
          <w:b/>
          <w:bCs/>
        </w:rPr>
        <w:t xml:space="preserve">Тип</w:t>
      </w:r>
      <w:r>
        <w:t xml:space="preserve">: Клинические рекомендации | </w:t>
      </w:r>
      <w:r>
        <w:rPr>
          <w:b/>
          <w:bCs/>
        </w:rPr>
        <w:t xml:space="preserve">Доступ</w:t>
      </w:r>
      <w:r>
        <w:t xml:space="preserve">: Открытая</w:t>
      </w:r>
    </w:p>
    <w:p>
      <w:pPr>
        <w:pStyle w:val="Keep"/>
        <w:keepNext/>
      </w:pPr>
      <w:r>
        <w:t xml:space="preserve">Российский документ определяет наблюдение при небольшой бессимптомной миоме и перечисляет хирургические показания, включая размер матки &gt;12 недель и увеличение &gt;4 недель за год. Большинство тактических положений имеют УУР C, УДД 5; диагностика при подозрении на лейомиосаркому имеет УУР C, УДД 4. Рекомендации не задают интервалы наблюдения и не приводят профилактического сравнения операции с наблюдением.</w:t>
      </w:r>
    </w:p>
    <w:p>
      <w:pPr>
        <w:pStyle w:val="Actions"/>
      </w:pPr>
      <w:hyperlink r:id="rId102" w:history="1">
        <w:r>
          <w:rPr>
            <w:rStyle w:val="Hyperlink"/>
          </w:rPr>
          <w:t xml:space="preserve">Оригинал</w:t>
        </w:r>
      </w:hyperlink>
    </w:p>
    <w:p>
      <w:pPr>
        <w:pStyle w:val="Heading1"/>
        <w:keepNext/>
      </w:pPr>
      <w:r>
        <w:t xml:space="preserve">Направление 4. Диагностическая безопасность: миома или саркома матки</w:t>
      </w:r>
    </w:p>
    <w:p>
      <w:pPr>
        <w:pStyle w:val="Keep"/>
        <w:keepNext/>
      </w:pPr>
      <w:r>
        <w:rPr>
          <w:i/>
          <w:iCs/>
        </w:rPr>
        <w:t xml:space="preserve">Из 401 найденных статей отобрано 9.</w:t>
      </w:r>
    </w:p>
    <w:p>
      <w:pPr>
        <w:pStyle w:val="BodyText"/>
      </w:pPr>
      <w:r>
        <w:t xml:space="preserve">Риск нераспознанной лейомиосаркомы и диагностическая точность составляют отдельный вопрос, не связанный с пользой профилактической операции. Оценки распространённости получены преимущественно среди уже прооперированных женщин. Российские КР приводят 1 случай на 400 операций, или 0,25% </w:t>
      </w:r>
      <w:hyperlink r:id="rId102" w:history="1">
        <w:r>
          <w:rPr>
            <w:rStyle w:val="Hyperlink"/>
            <w:color w:val="B6322D"/>
            <w:u w:val="none"/>
            <w:vertAlign w:val="superscript"/>
          </w:rPr>
          <w:t xml:space="preserve">18</w:t>
        </w:r>
      </w:hyperlink>
      <w:r>
        <w:t xml:space="preserve">. В более широком метаанализе оценка составила 0,51 на 1000 операций, а среди проспективных исследований 0,12 на 1000; байесовские интервалы были широкими </w:t>
      </w:r>
      <w:hyperlink r:id="rId112" w:history="1">
        <w:r>
          <w:rPr>
            <w:rStyle w:val="Hyperlink"/>
            <w:color w:val="B6322D"/>
            <w:u w:val="none"/>
            <w:vertAlign w:val="superscript"/>
          </w:rPr>
          <w:t xml:space="preserve">8</w:t>
        </w:r>
      </w:hyperlink>
      <w:r>
        <w:t xml:space="preserve">. Комитет ACOG приводит диапазон от 1 на 770 до менее 1 на 10 000 операций по поводу предполагаемой симптомной миомы </w:t>
      </w:r>
      <w:hyperlink r:id="rId113" w:history="1">
        <w:r>
          <w:rPr>
            <w:rStyle w:val="Hyperlink"/>
            <w:color w:val="B6322D"/>
            <w:u w:val="none"/>
            <w:vertAlign w:val="superscript"/>
          </w:rPr>
          <w:t xml:space="preserve">7</w:t>
        </w:r>
      </w:hyperlink>
      <w:r>
        <w:t xml:space="preserve">. Российская оценка выше этих международных оценок, но ни одна из них не описывает напрямую риск для женщины со случайной бессимптомной находкой. Различаются отбор пациенток, дизайн исследований и способы обобщения редких событий.</w:t>
      </w:r>
    </w:p>
    <w:p>
      <w:pPr>
        <w:pStyle w:val="BodyText"/>
      </w:pPr>
      <w:r>
        <w:t xml:space="preserve">Российские КР называют комплексное трансвагинальное и трансабдоминальное УЗИ основным методом первичной диагностики, а при быстром росте рекомендуют дифференциальную диагностику с помощью УЗИ и/или МРТ, УУР C, УДД 4. Одновременно документ признаёт, что до операции миому и лейомиосаркому надёжно различить нельзя </w:t>
      </w:r>
      <w:hyperlink r:id="rId102" w:history="1">
        <w:r>
          <w:rPr>
            <w:rStyle w:val="Hyperlink"/>
            <w:color w:val="B6322D"/>
            <w:u w:val="none"/>
            <w:vertAlign w:val="superscript"/>
          </w:rPr>
          <w:t xml:space="preserve">18</w:t>
        </w:r>
      </w:hyperlink>
      <w:r>
        <w:t xml:space="preserve">. Рекомендации ESGO/EURACAN/GCIG 2024 года по саркомам матки предлагают при атипичной картине исходного УЗИ направлять пациентку на МРТ или экспертное УЗИ, которые интерпретируют специалисты с соответствующим опытом. Трепанобиопсию руководство оставляет для подозрительной визуализации, когда немедленная гистерэктомия невозможна, с экспертным морфологическим пересмотром </w:t>
      </w:r>
      <w:hyperlink r:id="rId156" w:history="1">
        <w:r>
          <w:rPr>
            <w:rStyle w:val="Hyperlink"/>
            <w:color w:val="B6322D"/>
            <w:u w:val="none"/>
            <w:vertAlign w:val="superscript"/>
          </w:rPr>
          <w:t xml:space="preserve">26</w:t>
        </w:r>
      </w:hyperlink>
      <w:r>
        <w:t xml:space="preserve">.</w:t>
      </w:r>
    </w:p>
    <w:p>
      <w:pPr>
        <w:pStyle w:val="BodyText"/>
      </w:pPr>
      <w:r>
        <w:t xml:space="preserve">Для неопределённых миометриальных образований рекомендации Европейского общества урогенитальной радиологии 2026 года предпочитают мультипараметрическую МРТ: T2-взвешенные и диффузионно-взвешенные изображения, при необходимости динамическое контрастирование. Подозрение усиливают неровные контуры, промежуточный или высокий T2-сигнал, кровоизлияние, центральный некроз и ограничение диффузии. Порог измеряемого коэффициента диффузии (ИКД) &lt;0,9 × 10</w:t>
      </w:r>
      <w:r>
        <w:rPr>
          <w:vertAlign w:val="superscript"/>
        </w:rPr>
        <w:t xml:space="preserve">−3</w:t>
      </w:r>
      <w:r>
        <w:t xml:space="preserve"> мм²/с документ приводит как предложенный и подчёркивает перекрытие признаков </w:t>
      </w:r>
      <w:hyperlink r:id="rId157" w:history="1">
        <w:r>
          <w:rPr>
            <w:rStyle w:val="Hyperlink"/>
            <w:color w:val="B6322D"/>
            <w:u w:val="none"/>
            <w:vertAlign w:val="superscript"/>
          </w:rPr>
          <w:t xml:space="preserve">27</w:t>
        </w:r>
      </w:hyperlink>
      <w:r>
        <w:t xml:space="preserve">. В метаанализе 21 исследования специфичность ИКД в составе мультипараметрической МРТ была выше, чем при изолированной оценке: 95% против 82% </w:t>
      </w:r>
      <w:hyperlink r:id="rId158" w:history="1">
        <w:r>
          <w:rPr>
            <w:rStyle w:val="Hyperlink"/>
            <w:color w:val="B6322D"/>
            <w:u w:val="none"/>
            <w:vertAlign w:val="superscript"/>
          </w:rPr>
          <w:t xml:space="preserve">21</w:t>
        </w:r>
      </w:hyperlink>
      <w:r>
        <w:t xml:space="preserve">.</w:t>
      </w:r>
    </w:p>
    <w:p>
      <w:pPr>
        <w:pStyle w:val="BodyText"/>
      </w:pPr>
      <w:r>
        <w:t xml:space="preserve">Возраст, постменопауза и сообщаемый быстрый рост были связаны с саркомой в хирургическом исследовании «случай-контроль», но не дают диагностического заключения по одному признаку </w:t>
      </w:r>
      <w:hyperlink r:id="rId159" w:history="1">
        <w:r>
          <w:rPr>
            <w:rStyle w:val="Hyperlink"/>
            <w:color w:val="B6322D"/>
            <w:u w:val="none"/>
            <w:vertAlign w:val="superscript"/>
          </w:rPr>
          <w:t xml:space="preserve">25</w:t>
        </w:r>
      </w:hyperlink>
      <w:r>
        <w:t xml:space="preserve">. УЗ-признаки также перекрываются: неоднородность встречалась и у большинства доброкачественных узлов, а согласие специалистов по контурам и эхогенности было ограниченным </w:t>
      </w:r>
      <w:hyperlink r:id="rId160" w:history="1">
        <w:r>
          <w:rPr>
            <w:rStyle w:val="Hyperlink"/>
            <w:color w:val="B6322D"/>
            <w:u w:val="none"/>
            <w:vertAlign w:val="superscript"/>
          </w:rPr>
          <w:t xml:space="preserve">24</w:t>
        </w:r>
      </w:hyperlink>
      <w:r>
        <w:t xml:space="preserve">. У структурированных МРТ-алгоритмов высокая точность в специально отобранных атипичных образованиях </w:t>
      </w:r>
      <w:hyperlink r:id="rId161" w:history="1">
        <w:r>
          <w:rPr>
            <w:rStyle w:val="Hyperlink"/>
            <w:color w:val="B6322D"/>
            <w:u w:val="none"/>
            <w:vertAlign w:val="superscript"/>
          </w:rPr>
          <w:t xml:space="preserve">22</w:t>
        </w:r>
      </w:hyperlink>
      <w:r>
        <w:t xml:space="preserve">, однако небольшая внешняя проверка показала чувствительность только 75–81,2% для всех включённых злокачественных образований </w:t>
      </w:r>
      <w:hyperlink r:id="rId162" w:history="1">
        <w:r>
          <w:rPr>
            <w:rStyle w:val="Hyperlink"/>
            <w:color w:val="B6322D"/>
            <w:u w:val="none"/>
            <w:vertAlign w:val="superscript"/>
          </w:rPr>
          <w:t xml:space="preserve">23</w:t>
        </w:r>
      </w:hyperlink>
      <w:r>
        <w:t xml:space="preserve">. Поэтому отрицательная МРТ не гарантирует доброкачественность и не обосновывает универсальный безопасный интервал наблюдения. Комитет ACOG предлагает оценивать риск злокачественной опухоли перед морцелляцией, считает подозрительную визуализацию основанием отказаться от неё и указывает, что исследование эндометрия не выявляет лейомиосаркому надёжно </w:t>
      </w:r>
      <w:hyperlink r:id="rId113" w:history="1">
        <w:r>
          <w:rPr>
            <w:rStyle w:val="Hyperlink"/>
            <w:color w:val="B6322D"/>
            <w:u w:val="none"/>
            <w:vertAlign w:val="superscript"/>
          </w:rPr>
          <w:t xml:space="preserve">7</w:t>
        </w:r>
      </w:hyperlink>
      <w:r>
        <w:t xml:space="preserve">.</w:t>
      </w:r>
    </w:p>
    <w:tbl>
      <w:tblPr>
        <w:tblStyle w:val="Table"/>
        <w:tblW w:w="9270" w:type="dxa"/>
        <w:tblLayout w:type="fixed"/>
        <w:tblLook w:firstRow="1" w:lastRow="0" w:firstColumn="0" w:lastColumn="0" w:noHBand="0" w:noVBand="0" w:val="0020"/>
      </w:tblPr>
      <w:tblGrid>
        <w:gridCol w:w="420"/>
        <w:gridCol w:w="3330"/>
        <w:gridCol w:w="1080"/>
        <w:gridCol w:w="2000"/>
        <w:gridCol w:w="680"/>
        <w:gridCol w:w="580"/>
        <w:gridCol w:w="1180"/>
      </w:tblGrid>
      <w:tr>
        <w:trPr>
          <w:cantSplit/>
          <w:tblHeader w:val="on"/>
        </w:trPr>
        <w:tc>
          <w:tcPr>
            <w:tcW w:w="420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#</w:t>
            </w:r>
          </w:p>
        </w:tc>
        <w:tc>
          <w:tcPr>
            <w:tcW w:w="3330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Статья</w:t>
            </w:r>
          </w:p>
        </w:tc>
        <w:tc>
          <w:tcPr>
            <w:tcW w:w="1080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PMID</w:t>
            </w:r>
          </w:p>
        </w:tc>
        <w:tc>
          <w:tcPr>
            <w:tcW w:w="2000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Журнал</w:t>
            </w:r>
          </w:p>
        </w:tc>
        <w:tc>
          <w:tcPr>
            <w:tcW w:w="680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Год</w:t>
            </w:r>
          </w:p>
        </w:tc>
        <w:tc>
          <w:tcPr>
            <w:tcW w:w="580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Цит.</w:t>
            </w:r>
          </w:p>
        </w:tc>
        <w:tc>
          <w:tcPr>
            <w:tcW w:w="1180" w:type="dxa"/>
          </w:tcPr>
          <w:p>
            <w:pPr>
              <w:pStyle w:val="Compact"/>
            </w:pPr>
            <w:r>
              <w:rPr>
                <w:b/>
                <w:bCs/>
              </w:rPr>
              <w:t xml:space="preserve">Доступ</w:t>
            </w:r>
          </w:p>
        </w:tc>
      </w:tr>
      <w:tr>
        <w:trPr>
          <w:cantSplit/>
        </w:trPr>
        <w:tc>
          <w:tcPr>
            <w:tcW w:w="420" w:type="dxa"/>
          </w:tcPr>
          <w:p>
            <w:pPr>
              <w:pStyle w:val="Compact"/>
            </w:pPr>
            <w:r>
              <w:t xml:space="preserve">19</w:t>
            </w:r>
          </w:p>
        </w:tc>
        <w:tc>
          <w:tcPr>
            <w:tcW w:w="3330" w:type="dxa"/>
          </w:tcPr>
          <w:p>
            <w:pPr>
              <w:pStyle w:val="Compact"/>
            </w:pPr>
            <w:r>
              <w:t xml:space="preserve">МРТ-оценка образований матки на риск лейомиосаркомы: консенсусное заявление</w:t>
            </w:r>
          </w:p>
        </w:tc>
        <w:tc>
          <w:tcPr>
            <w:tcW w:w="1080" w:type="dxa"/>
          </w:tcPr>
          <w:p>
            <w:pPr>
              <w:pStyle w:val="Compact"/>
            </w:pPr>
            <w:hyperlink r:id="rId163" w:history="1">
              <w:r>
                <w:rPr>
                  <w:rStyle w:val="Hyperlink"/>
                </w:rPr>
                <w:t xml:space="preserve">36194109</w:t>
              </w:r>
            </w:hyperlink>
          </w:p>
        </w:tc>
        <w:tc>
          <w:tcPr>
            <w:tcW w:w="2000" w:type="dxa"/>
          </w:tcPr>
          <w:p>
            <w:pPr>
              <w:pStyle w:val="Compact"/>
            </w:pPr>
            <w:r>
              <w:t xml:space="preserve">Radiology</w:t>
            </w:r>
          </w:p>
        </w:tc>
        <w:tc>
          <w:tcPr>
            <w:tcW w:w="680" w:type="dxa"/>
          </w:tcPr>
          <w:p>
            <w:pPr>
              <w:pStyle w:val="Compact"/>
            </w:pPr>
            <w:r>
              <w:t xml:space="preserve">2023</w:t>
            </w:r>
          </w:p>
        </w:tc>
        <w:tc>
          <w:tcPr>
            <w:tcW w:w="580" w:type="dxa"/>
          </w:tcPr>
          <w:p>
            <w:pPr>
              <w:pStyle w:val="Compact"/>
            </w:pPr>
            <w:r>
              <w:t xml:space="preserve">91</w:t>
            </w:r>
          </w:p>
        </w:tc>
        <w:tc>
          <w:tcPr>
            <w:tcW w:w="1180" w:type="dxa"/>
          </w:tcPr>
          <w:p>
            <w:pPr>
              <w:pStyle w:val="Compact"/>
            </w:pPr>
            <w:r>
              <w:t xml:space="preserve">Открытая</w:t>
            </w:r>
          </w:p>
        </w:tc>
      </w:tr>
      <w:tr>
        <w:trPr>
          <w:cantSplit/>
        </w:trPr>
        <w:tc>
          <w:tcPr>
            <w:tcW w:w="420" w:type="dxa"/>
          </w:tcPr>
          <w:p>
            <w:pPr>
              <w:pStyle w:val="Compact"/>
            </w:pPr>
            <w:r>
              <w:t xml:space="preserve">20</w:t>
            </w:r>
          </w:p>
        </w:tc>
        <w:tc>
          <w:tcPr>
            <w:tcW w:w="3330" w:type="dxa"/>
          </w:tcPr>
          <w:p>
            <w:pPr>
              <w:pStyle w:val="Compact"/>
            </w:pPr>
            <w:r>
              <w:t xml:space="preserve">МРТ для диагностики саркомы матки: систематический обзор и метаанализ</w:t>
            </w:r>
          </w:p>
        </w:tc>
        <w:tc>
          <w:tcPr>
            <w:tcW w:w="1080" w:type="dxa"/>
          </w:tcPr>
          <w:p>
            <w:pPr>
              <w:pStyle w:val="Compact"/>
            </w:pPr>
            <w:hyperlink r:id="rId164" w:history="1">
              <w:r>
                <w:rPr>
                  <w:rStyle w:val="Hyperlink"/>
                </w:rPr>
                <w:t xml:space="preserve">41678008</w:t>
              </w:r>
            </w:hyperlink>
          </w:p>
        </w:tc>
        <w:tc>
          <w:tcPr>
            <w:tcW w:w="2000" w:type="dxa"/>
          </w:tcPr>
          <w:p>
            <w:pPr>
              <w:pStyle w:val="Compact"/>
            </w:pPr>
            <w:r>
              <w:t xml:space="preserve">Japanese Journal of Radiology</w:t>
            </w:r>
          </w:p>
        </w:tc>
        <w:tc>
          <w:tcPr>
            <w:tcW w:w="680" w:type="dxa"/>
          </w:tcPr>
          <w:p>
            <w:pPr>
              <w:pStyle w:val="Compact"/>
            </w:pPr>
            <w:r>
              <w:t xml:space="preserve">2026</w:t>
            </w:r>
          </w:p>
        </w:tc>
        <w:tc>
          <w:tcPr>
            <w:tcW w:w="580" w:type="dxa"/>
          </w:tcPr>
          <w:p>
            <w:pPr>
              <w:pStyle w:val="Compact"/>
            </w:pPr>
            <w:r>
              <w:t xml:space="preserve">2</w:t>
            </w:r>
          </w:p>
        </w:tc>
        <w:tc>
          <w:tcPr>
            <w:tcW w:w="1180" w:type="dxa"/>
          </w:tcPr>
          <w:p>
            <w:pPr>
              <w:pStyle w:val="Compact"/>
            </w:pPr>
            <w:r>
              <w:t xml:space="preserve">Открытая</w:t>
            </w:r>
          </w:p>
        </w:tc>
      </w:tr>
      <w:tr>
        <w:trPr>
          <w:cantSplit/>
        </w:trPr>
        <w:tc>
          <w:tcPr>
            <w:tcW w:w="420" w:type="dxa"/>
          </w:tcPr>
          <w:p>
            <w:pPr>
              <w:pStyle w:val="Compact"/>
            </w:pPr>
            <w:r>
              <w:t xml:space="preserve">21</w:t>
            </w:r>
          </w:p>
        </w:tc>
        <w:tc>
          <w:tcPr>
            <w:tcW w:w="3330" w:type="dxa"/>
          </w:tcPr>
          <w:p>
            <w:pPr>
              <w:pStyle w:val="Compact"/>
            </w:pPr>
            <w:r>
              <w:t xml:space="preserve">Значение измеряемого коэффициента диффузии для различения сарком матки и лейомиом: систематический обзор и метаанализ</w:t>
            </w:r>
          </w:p>
        </w:tc>
        <w:tc>
          <w:tcPr>
            <w:tcW w:w="1080" w:type="dxa"/>
          </w:tcPr>
          <w:p>
            <w:pPr>
              <w:pStyle w:val="Compact"/>
            </w:pPr>
            <w:hyperlink r:id="rId165" w:history="1">
              <w:r>
                <w:rPr>
                  <w:rStyle w:val="Hyperlink"/>
                </w:rPr>
                <w:t xml:space="preserve">38899844</w:t>
              </w:r>
            </w:hyperlink>
          </w:p>
        </w:tc>
        <w:tc>
          <w:tcPr>
            <w:tcW w:w="2000" w:type="dxa"/>
          </w:tcPr>
          <w:p>
            <w:pPr>
              <w:pStyle w:val="Compact"/>
            </w:pPr>
            <w:r>
              <w:t xml:space="preserve">AJR. American Journal of Roentgenology</w:t>
            </w:r>
          </w:p>
        </w:tc>
        <w:tc>
          <w:tcPr>
            <w:tcW w:w="680" w:type="dxa"/>
          </w:tcPr>
          <w:p>
            <w:pPr>
              <w:pStyle w:val="Compact"/>
            </w:pPr>
            <w:r>
              <w:t xml:space="preserve">2024</w:t>
            </w:r>
          </w:p>
        </w:tc>
        <w:tc>
          <w:tcPr>
            <w:tcW w:w="580" w:type="dxa"/>
          </w:tcPr>
          <w:p>
            <w:pPr>
              <w:pStyle w:val="Compact"/>
            </w:pPr>
            <w:r>
              <w:t xml:space="preserve">15</w:t>
            </w:r>
          </w:p>
        </w:tc>
        <w:tc>
          <w:tcPr>
            <w:tcW w:w="1180" w:type="dxa"/>
          </w:tcPr>
          <w:p>
            <w:pPr>
              <w:pStyle w:val="Compact"/>
            </w:pPr>
            <w:r>
              <w:t xml:space="preserve">Закрытая</w:t>
            </w:r>
          </w:p>
        </w:tc>
      </w:tr>
      <w:tr>
        <w:trPr>
          <w:cantSplit/>
        </w:trPr>
        <w:tc>
          <w:tcPr>
            <w:tcW w:w="420" w:type="dxa"/>
          </w:tcPr>
          <w:p>
            <w:pPr>
              <w:pStyle w:val="Compact"/>
            </w:pPr>
            <w:r>
              <w:t xml:space="preserve">22</w:t>
            </w:r>
          </w:p>
        </w:tc>
        <w:tc>
          <w:tcPr>
            <w:tcW w:w="3330" w:type="dxa"/>
          </w:tcPr>
          <w:p>
            <w:pPr>
              <w:pStyle w:val="Compact"/>
            </w:pPr>
            <w:r>
              <w:t xml:space="preserve">Диагностический алгоритм различения доброкачественных атипичных лейомиом и злокачественных сарком матки с помощью диффузионно-взвешенной МРТ</w:t>
            </w:r>
          </w:p>
        </w:tc>
        <w:tc>
          <w:tcPr>
            <w:tcW w:w="1080" w:type="dxa"/>
          </w:tcPr>
          <w:p>
            <w:pPr>
              <w:pStyle w:val="Compact"/>
            </w:pPr>
            <w:hyperlink r:id="rId166" w:history="1">
              <w:r>
                <w:rPr>
                  <w:rStyle w:val="Hyperlink"/>
                </w:rPr>
                <w:t xml:space="preserve">32930650</w:t>
              </w:r>
            </w:hyperlink>
          </w:p>
        </w:tc>
        <w:tc>
          <w:tcPr>
            <w:tcW w:w="2000" w:type="dxa"/>
          </w:tcPr>
          <w:p>
            <w:pPr>
              <w:pStyle w:val="Compact"/>
            </w:pPr>
            <w:r>
              <w:t xml:space="preserve">Radiology</w:t>
            </w:r>
          </w:p>
        </w:tc>
        <w:tc>
          <w:tcPr>
            <w:tcW w:w="680" w:type="dxa"/>
          </w:tcPr>
          <w:p>
            <w:pPr>
              <w:pStyle w:val="Compact"/>
            </w:pPr>
            <w:r>
              <w:t xml:space="preserve">2020</w:t>
            </w:r>
          </w:p>
        </w:tc>
        <w:tc>
          <w:tcPr>
            <w:tcW w:w="580" w:type="dxa"/>
          </w:tcPr>
          <w:p>
            <w:pPr>
              <w:pStyle w:val="Compact"/>
            </w:pPr>
            <w:r>
              <w:t xml:space="preserve">94</w:t>
            </w:r>
          </w:p>
        </w:tc>
        <w:tc>
          <w:tcPr>
            <w:tcW w:w="1180" w:type="dxa"/>
          </w:tcPr>
          <w:p>
            <w:pPr>
              <w:pStyle w:val="Compact"/>
            </w:pPr>
            <w:r>
              <w:t xml:space="preserve">Закрытая</w:t>
            </w:r>
          </w:p>
        </w:tc>
      </w:tr>
      <w:tr>
        <w:trPr>
          <w:cantSplit/>
        </w:trPr>
        <w:tc>
          <w:tcPr>
            <w:tcW w:w="420" w:type="dxa"/>
          </w:tcPr>
          <w:p>
            <w:pPr>
              <w:pStyle w:val="Compact"/>
            </w:pPr>
            <w:r>
              <w:t xml:space="preserve">23</w:t>
            </w:r>
          </w:p>
        </w:tc>
        <w:tc>
          <w:tcPr>
            <w:tcW w:w="3330" w:type="dxa"/>
          </w:tcPr>
          <w:p>
            <w:pPr>
              <w:pStyle w:val="Compact"/>
            </w:pPr>
            <w:r>
              <w:t xml:space="preserve">Саркома матки или дегенерирующая миома? Проверка нового консенсусного МРТ-алгоритма оценки атипичных образований матки</w:t>
            </w:r>
          </w:p>
        </w:tc>
        <w:tc>
          <w:tcPr>
            <w:tcW w:w="1080" w:type="dxa"/>
          </w:tcPr>
          <w:p>
            <w:pPr>
              <w:pStyle w:val="Compact"/>
            </w:pPr>
            <w:hyperlink r:id="rId167" w:history="1">
              <w:r>
                <w:rPr>
                  <w:rStyle w:val="Hyperlink"/>
                </w:rPr>
                <w:t xml:space="preserve">39379060</w:t>
              </w:r>
            </w:hyperlink>
          </w:p>
        </w:tc>
        <w:tc>
          <w:tcPr>
            <w:tcW w:w="2000" w:type="dxa"/>
          </w:tcPr>
          <w:p>
            <w:pPr>
              <w:pStyle w:val="Compact"/>
            </w:pPr>
            <w:r>
              <w:t xml:space="preserve">Journal of Computer Assisted Tomography</w:t>
            </w:r>
          </w:p>
        </w:tc>
        <w:tc>
          <w:tcPr>
            <w:tcW w:w="680" w:type="dxa"/>
          </w:tcPr>
          <w:p>
            <w:pPr>
              <w:pStyle w:val="Compact"/>
            </w:pPr>
            <w:r>
              <w:t xml:space="preserve">2025</w:t>
            </w:r>
          </w:p>
        </w:tc>
        <w:tc>
          <w:tcPr>
            <w:tcW w:w="580" w:type="dxa"/>
          </w:tcPr>
          <w:p>
            <w:pPr>
              <w:pStyle w:val="Compact"/>
            </w:pPr>
            <w:r>
              <w:t xml:space="preserve">7</w:t>
            </w:r>
          </w:p>
        </w:tc>
        <w:tc>
          <w:tcPr>
            <w:tcW w:w="1180" w:type="dxa"/>
          </w:tcPr>
          <w:p>
            <w:pPr>
              <w:pStyle w:val="Compact"/>
            </w:pPr>
            <w:r>
              <w:t xml:space="preserve">Закрытая</w:t>
            </w:r>
          </w:p>
        </w:tc>
      </w:tr>
      <w:tr>
        <w:trPr>
          <w:cantSplit/>
        </w:trPr>
        <w:tc>
          <w:tcPr>
            <w:tcW w:w="420" w:type="dxa"/>
          </w:tcPr>
          <w:p>
            <w:pPr>
              <w:pStyle w:val="Compact"/>
            </w:pPr>
            <w:r>
              <w:t xml:space="preserve">24</w:t>
            </w:r>
          </w:p>
        </w:tc>
        <w:tc>
          <w:tcPr>
            <w:tcW w:w="3330" w:type="dxa"/>
          </w:tcPr>
          <w:p>
            <w:pPr>
              <w:pStyle w:val="Compact"/>
            </w:pPr>
            <w:r>
              <w:t xml:space="preserve">Ультразвуковые признаки саркомы матки и лейомиомы с использованием терминов и определений морфологической ультразвуковой оценки матки: когортное исследование</w:t>
            </w:r>
          </w:p>
        </w:tc>
        <w:tc>
          <w:tcPr>
            <w:tcW w:w="1080" w:type="dxa"/>
          </w:tcPr>
          <w:p>
            <w:pPr>
              <w:pStyle w:val="Compact"/>
            </w:pPr>
            <w:hyperlink r:id="rId168" w:history="1">
              <w:r>
                <w:rPr>
                  <w:rStyle w:val="Hyperlink"/>
                </w:rPr>
                <w:t xml:space="preserve">37970762</w:t>
              </w:r>
            </w:hyperlink>
          </w:p>
        </w:tc>
        <w:tc>
          <w:tcPr>
            <w:tcW w:w="2000" w:type="dxa"/>
          </w:tcPr>
          <w:p>
            <w:pPr>
              <w:pStyle w:val="Compact"/>
            </w:pPr>
            <w:r>
              <w:t xml:space="preserve">Ultrasound in Obstetrics &amp; Gynecology : the Official Journal of the International Society of Ultrasound in Obstetrics and Gynecology</w:t>
            </w:r>
          </w:p>
        </w:tc>
        <w:tc>
          <w:tcPr>
            <w:tcW w:w="680" w:type="dxa"/>
          </w:tcPr>
          <w:p>
            <w:pPr>
              <w:pStyle w:val="Compact"/>
            </w:pPr>
            <w:r>
              <w:t xml:space="preserve">2024</w:t>
            </w:r>
          </w:p>
        </w:tc>
        <w:tc>
          <w:tcPr>
            <w:tcW w:w="580" w:type="dxa"/>
          </w:tcPr>
          <w:p>
            <w:pPr>
              <w:pStyle w:val="Compact"/>
            </w:pPr>
            <w:r>
              <w:t xml:space="preserve">16</w:t>
            </w:r>
          </w:p>
        </w:tc>
        <w:tc>
          <w:tcPr>
            <w:tcW w:w="1180" w:type="dxa"/>
          </w:tcPr>
          <w:p>
            <w:pPr>
              <w:pStyle w:val="Compact"/>
            </w:pPr>
            <w:r>
              <w:t xml:space="preserve">Открытая</w:t>
            </w:r>
          </w:p>
        </w:tc>
      </w:tr>
      <w:tr>
        <w:trPr>
          <w:cantSplit/>
        </w:trPr>
        <w:tc>
          <w:tcPr>
            <w:tcW w:w="420" w:type="dxa"/>
          </w:tcPr>
          <w:p>
            <w:pPr>
              <w:pStyle w:val="Compact"/>
            </w:pPr>
            <w:r>
              <w:t xml:space="preserve">25</w:t>
            </w:r>
          </w:p>
        </w:tc>
        <w:tc>
          <w:tcPr>
            <w:tcW w:w="3330" w:type="dxa"/>
          </w:tcPr>
          <w:p>
            <w:pPr>
              <w:pStyle w:val="Compact"/>
            </w:pPr>
            <w:r>
              <w:t xml:space="preserve">Сравнение дооперационных клинических характеристик саркомы матки и лейомиомы у пациенток с образованием матки: исследование «случай-контроль»</w:t>
            </w:r>
          </w:p>
        </w:tc>
        <w:tc>
          <w:tcPr>
            <w:tcW w:w="1080" w:type="dxa"/>
          </w:tcPr>
          <w:p>
            <w:pPr>
              <w:pStyle w:val="Compact"/>
            </w:pPr>
            <w:hyperlink r:id="rId169" w:history="1">
              <w:r>
                <w:rPr>
                  <w:rStyle w:val="Hyperlink"/>
                </w:rPr>
                <w:t xml:space="preserve">35074691</w:t>
              </w:r>
            </w:hyperlink>
          </w:p>
        </w:tc>
        <w:tc>
          <w:tcPr>
            <w:tcW w:w="2000" w:type="dxa"/>
          </w:tcPr>
          <w:p>
            <w:pPr>
              <w:pStyle w:val="Compact"/>
            </w:pPr>
            <w:r>
              <w:t xml:space="preserve">European Journal of Obstetrics, Gynecology, and Reproductive Biology</w:t>
            </w:r>
          </w:p>
        </w:tc>
        <w:tc>
          <w:tcPr>
            <w:tcW w:w="680" w:type="dxa"/>
          </w:tcPr>
          <w:p>
            <w:pPr>
              <w:pStyle w:val="Compact"/>
            </w:pPr>
            <w:r>
              <w:t xml:space="preserve">2022</w:t>
            </w:r>
          </w:p>
        </w:tc>
        <w:tc>
          <w:tcPr>
            <w:tcW w:w="580" w:type="dxa"/>
          </w:tcPr>
          <w:p>
            <w:pPr>
              <w:pStyle w:val="Compact"/>
            </w:pPr>
            <w:r>
              <w:t xml:space="preserve">14</w:t>
            </w:r>
          </w:p>
        </w:tc>
        <w:tc>
          <w:tcPr>
            <w:tcW w:w="1180" w:type="dxa"/>
          </w:tcPr>
          <w:p>
            <w:pPr>
              <w:pStyle w:val="Compact"/>
            </w:pPr>
            <w:r>
              <w:t xml:space="preserve">Открытая</w:t>
            </w:r>
          </w:p>
        </w:tc>
      </w:tr>
      <w:tr>
        <w:trPr>
          <w:cantSplit/>
        </w:trPr>
        <w:tc>
          <w:tcPr>
            <w:tcW w:w="420" w:type="dxa"/>
          </w:tcPr>
          <w:p>
            <w:pPr>
              <w:pStyle w:val="Compact"/>
            </w:pPr>
            <w:r>
              <w:t xml:space="preserve">26</w:t>
            </w:r>
          </w:p>
        </w:tc>
        <w:tc>
          <w:tcPr>
            <w:tcW w:w="3330" w:type="dxa"/>
          </w:tcPr>
          <w:p>
            <w:pPr>
              <w:pStyle w:val="Compact"/>
            </w:pPr>
            <w:r>
              <w:t xml:space="preserve">Рекомендации ESGO/EURACAN/GCIG по ведению пациенток с саркомами матки</w:t>
            </w:r>
          </w:p>
        </w:tc>
        <w:tc>
          <w:tcPr>
            <w:tcW w:w="1080" w:type="dxa"/>
          </w:tcPr>
          <w:p>
            <w:pPr>
              <w:pStyle w:val="Compact"/>
            </w:pPr>
            <w:hyperlink r:id="rId170" w:history="1">
              <w:r>
                <w:rPr>
                  <w:rStyle w:val="Hyperlink"/>
                </w:rPr>
                <w:t xml:space="preserve">39322612</w:t>
              </w:r>
            </w:hyperlink>
          </w:p>
        </w:tc>
        <w:tc>
          <w:tcPr>
            <w:tcW w:w="2000" w:type="dxa"/>
          </w:tcPr>
          <w:p>
            <w:pPr>
              <w:pStyle w:val="Compact"/>
            </w:pPr>
            <w:r>
              <w:t xml:space="preserve">International Journal of Gynecological Cancer : Official Journal of the International Gynecological Cancer Society</w:t>
            </w:r>
          </w:p>
        </w:tc>
        <w:tc>
          <w:tcPr>
            <w:tcW w:w="680" w:type="dxa"/>
          </w:tcPr>
          <w:p>
            <w:pPr>
              <w:pStyle w:val="Compact"/>
            </w:pPr>
            <w:r>
              <w:t xml:space="preserve">2024</w:t>
            </w:r>
          </w:p>
        </w:tc>
        <w:tc>
          <w:tcPr>
            <w:tcW w:w="580" w:type="dxa"/>
          </w:tcPr>
          <w:p>
            <w:pPr>
              <w:pStyle w:val="Compact"/>
            </w:pPr>
            <w:r>
              <w:t xml:space="preserve">64</w:t>
            </w:r>
          </w:p>
        </w:tc>
        <w:tc>
          <w:tcPr>
            <w:tcW w:w="1180" w:type="dxa"/>
          </w:tcPr>
          <w:p>
            <w:pPr>
              <w:pStyle w:val="Compact"/>
            </w:pPr>
            <w:r>
              <w:t xml:space="preserve">Открытая</w:t>
            </w:r>
          </w:p>
        </w:tc>
      </w:tr>
      <w:tr>
        <w:trPr>
          <w:cantSplit/>
        </w:trPr>
        <w:tc>
          <w:tcPr>
            <w:tcW w:w="420" w:type="dxa"/>
          </w:tcPr>
          <w:p>
            <w:pPr>
              <w:pStyle w:val="Compact"/>
            </w:pPr>
            <w:r>
              <w:t xml:space="preserve">27</w:t>
            </w:r>
          </w:p>
        </w:tc>
        <w:tc>
          <w:tcPr>
            <w:tcW w:w="3330" w:type="dxa"/>
          </w:tcPr>
          <w:p>
            <w:pPr>
              <w:pStyle w:val="Compact"/>
            </w:pPr>
            <w:r>
              <w:t xml:space="preserve">Основы ESR: злокачественные опухоли матки. Практические рекомендации Европейского общества урогенитальной радиологии</w:t>
            </w:r>
          </w:p>
        </w:tc>
        <w:tc>
          <w:tcPr>
            <w:tcW w:w="1080" w:type="dxa"/>
          </w:tcPr>
          <w:p>
            <w:pPr>
              <w:pStyle w:val="Compact"/>
            </w:pPr>
            <w:hyperlink r:id="rId171" w:history="1">
              <w:r>
                <w:rPr>
                  <w:rStyle w:val="Hyperlink"/>
                </w:rPr>
                <w:t xml:space="preserve">42380325</w:t>
              </w:r>
            </w:hyperlink>
          </w:p>
        </w:tc>
        <w:tc>
          <w:tcPr>
            <w:tcW w:w="2000" w:type="dxa"/>
          </w:tcPr>
          <w:p>
            <w:pPr>
              <w:pStyle w:val="Compact"/>
            </w:pPr>
            <w:r>
              <w:t xml:space="preserve">European Radiology</w:t>
            </w:r>
          </w:p>
        </w:tc>
        <w:tc>
          <w:tcPr>
            <w:tcW w:w="680" w:type="dxa"/>
          </w:tcPr>
          <w:p>
            <w:pPr>
              <w:pStyle w:val="Compact"/>
            </w:pPr>
            <w:r>
              <w:t xml:space="preserve">2026</w:t>
            </w:r>
          </w:p>
        </w:tc>
        <w:tc>
          <w:tcPr>
            <w:tcW w:w="580" w:type="dxa"/>
          </w:tcPr>
          <w:p>
            <w:pPr>
              <w:pStyle w:val="Compact"/>
            </w:pPr>
            <w:r>
              <w:t xml:space="preserve">0</w:t>
            </w:r>
          </w:p>
        </w:tc>
        <w:tc>
          <w:tcPr>
            <w:tcW w:w="1180" w:type="dxa"/>
          </w:tcPr>
          <w:p>
            <w:pPr>
              <w:pStyle w:val="Compact"/>
            </w:pPr>
            <w:r>
              <w:t xml:space="preserve">Открытая</w:t>
            </w:r>
          </w:p>
        </w:tc>
      </w:tr>
    </w:tbl>
    <w:p>
      <w:pPr>
        <w:pStyle w:val="Compact"/>
      </w:pPr>
    </w:p>
    <w:p>
      <w:pPr>
        <w:pStyle w:val="Heading2"/>
        <w:keepNext/>
      </w:pPr>
      <w:r>
        <w:t xml:space="preserve">19. МРТ-оценка образований матки на риск лейомиосаркомы: консенсусное заявление</w:t>
      </w:r>
    </w:p>
    <w:p>
      <w:pPr>
        <w:pStyle w:val="Keep"/>
        <w:keepNext/>
      </w:pPr>
      <w:r>
        <w:rPr>
          <w:i/>
          <w:iCs/>
        </w:rPr>
        <w:t xml:space="preserve">MRI Evaluation of Uterine Masses for Risk of Leiomyosarcoma: A Consensus Statement.</w:t>
      </w:r>
    </w:p>
    <w:p>
      <w:pPr>
        <w:pStyle w:val="BodyText"/>
      </w:pPr>
      <w:r>
        <w:rPr>
          <w:b/>
          <w:bCs/>
        </w:rPr>
        <w:t xml:space="preserve">Журнал</w:t>
      </w:r>
      <w:r>
        <w:t xml:space="preserve">: Radiology, 2023-Feb | </w:t>
      </w:r>
      <w:r>
        <w:rPr>
          <w:b/>
          <w:bCs/>
        </w:rPr>
        <w:t xml:space="preserve">Тип</w:t>
      </w:r>
      <w:r>
        <w:t xml:space="preserve">: Консенсусное заявление | </w:t>
      </w:r>
      <w:r>
        <w:rPr>
          <w:b/>
          <w:bCs/>
        </w:rPr>
        <w:t xml:space="preserve">Доступ</w:t>
      </w:r>
      <w:r>
        <w:t xml:space="preserve">: Открытая | </w:t>
      </w:r>
      <w:r>
        <w:rPr>
          <w:b/>
          <w:bCs/>
        </w:rPr>
        <w:t xml:space="preserve">Цитирований</w:t>
      </w:r>
      <w:r>
        <w:t xml:space="preserve">: 91</w:t>
      </w:r>
    </w:p>
    <w:p>
      <w:pPr>
        <w:pStyle w:val="Keep"/>
        <w:keepNext/>
      </w:pPr>
      <w:r>
        <w:t xml:space="preserve">Экспертный документ стандартизирует оценку предполагаемых миом перед вмешательством и рассматривает МРТ как инструмент определения риска, а не окончательного исключения саркомы. Приводимая распространённость до 1 на 770 относится к удалённым образованиям, а не всем случайным находкам. Консенсус описывает диагностическую тактику, но не содержит новой когорты и не устанавливает порог, гарантирующий безопасность наблюдения.</w:t>
      </w:r>
    </w:p>
    <w:p>
      <w:pPr>
        <w:pStyle w:val="Actions"/>
      </w:pPr>
      <w:hyperlink r:id="rId172" w:history="1">
        <w:r>
          <w:rPr>
            <w:rStyle w:val="Hyperlink"/>
          </w:rPr>
          <w:t xml:space="preserve">Оригинал</w:t>
        </w:r>
      </w:hyperlink>
      <w:r>
        <w:t xml:space="preserve"> · </w:t>
      </w:r>
      <w:hyperlink r:id="rId173" w:history="1">
        <w:r>
          <w:rPr>
            <w:rStyle w:val="Hyperlink"/>
          </w:rPr>
          <w:t xml:space="preserve">Аннотация на русском</w:t>
        </w:r>
      </w:hyperlink>
    </w:p>
    <w:p>
      <w:pPr>
        <w:pStyle w:val="Heading2"/>
        <w:keepNext/>
      </w:pPr>
      <w:r>
        <w:t xml:space="preserve">20. МРТ для диагностики саркомы матки: систематический обзор и метаанализ</w:t>
      </w:r>
    </w:p>
    <w:p>
      <w:pPr>
        <w:pStyle w:val="Keep"/>
        <w:keepNext/>
      </w:pPr>
      <w:r>
        <w:rPr>
          <w:i/>
          <w:iCs/>
        </w:rPr>
        <w:t xml:space="preserve">MRI for diagnosing uterine sarcoma: a systematic review and meta-analysis.</w:t>
      </w:r>
    </w:p>
    <w:p>
      <w:pPr>
        <w:pStyle w:val="BodyText"/>
      </w:pPr>
      <w:r>
        <w:rPr>
          <w:b/>
          <w:bCs/>
        </w:rPr>
        <w:t xml:space="preserve">Журнал</w:t>
      </w:r>
      <w:r>
        <w:t xml:space="preserve">: Japanese Journal of Radiology, 2026-Jun | </w:t>
      </w:r>
      <w:r>
        <w:rPr>
          <w:b/>
          <w:bCs/>
        </w:rPr>
        <w:t xml:space="preserve">Тип</w:t>
      </w:r>
      <w:r>
        <w:t xml:space="preserve">: Систематический обзор и метаанализ диагностической точности | </w:t>
      </w:r>
      <w:r>
        <w:rPr>
          <w:b/>
          <w:bCs/>
        </w:rPr>
        <w:t xml:space="preserve">Доступ</w:t>
      </w:r>
      <w:r>
        <w:t xml:space="preserve">: Открытая | </w:t>
      </w:r>
      <w:r>
        <w:rPr>
          <w:b/>
          <w:bCs/>
        </w:rPr>
        <w:t xml:space="preserve">Лицензия</w:t>
      </w:r>
      <w:r>
        <w:t xml:space="preserve">: CC-BY | </w:t>
      </w:r>
      <w:r>
        <w:rPr>
          <w:b/>
          <w:bCs/>
        </w:rPr>
        <w:t xml:space="preserve">Цитирований</w:t>
      </w:r>
      <w:r>
        <w:t xml:space="preserve">: 2</w:t>
      </w:r>
    </w:p>
    <w:p>
      <w:pPr>
        <w:pStyle w:val="Keep"/>
        <w:keepNext/>
      </w:pPr>
      <w:r>
        <w:t xml:space="preserve">Обзор 12 ретроспективных исследований подозрительных миометриальных образований оценил чувствительность МРТ в 84,2%, 95% ДИ 76,3–89,9%, и специфичность в 89,1%, 95% ДИ 78,1–94,9%. Неоднородность была высокой, особенно для специфичности, I²=95,8%. Это современная сводная оценка диагностической точности, но она не обосновывает применение отрицательной МРТ как гарантии доброкачественности в бессимптомной популяции.</w:t>
      </w:r>
    </w:p>
    <w:p>
      <w:pPr>
        <w:pStyle w:val="Actions"/>
      </w:pPr>
      <w:hyperlink r:id="rId111" w:history="1">
        <w:r>
          <w:rPr>
            <w:rStyle w:val="Hyperlink"/>
          </w:rPr>
          <w:t xml:space="preserve">Оригинал</w:t>
        </w:r>
      </w:hyperlink>
      <w:r>
        <w:t xml:space="preserve"> · </w:t>
      </w:r>
      <w:hyperlink r:id="rId174" w:history="1">
        <w:r>
          <w:rPr>
            <w:rStyle w:val="Hyperlink"/>
          </w:rPr>
          <w:t xml:space="preserve">Аннотация на русском</w:t>
        </w:r>
      </w:hyperlink>
    </w:p>
    <w:p>
      <w:pPr>
        <w:pStyle w:val="Heading2"/>
        <w:keepNext/>
      </w:pPr>
      <w:r>
        <w:t xml:space="preserve">21. Значение измеряемого коэффициента диффузии для различения сарком матки и лейомиом: систематический обзор и метаанализ</w:t>
      </w:r>
    </w:p>
    <w:p>
      <w:pPr>
        <w:pStyle w:val="Keep"/>
        <w:keepNext/>
      </w:pPr>
      <w:r>
        <w:rPr>
          <w:i/>
          <w:iCs/>
        </w:rPr>
        <w:t xml:space="preserve">Utility of ADC Values for Differentiating Uterine Sarcomas From Leiomyomas: Systematic Review and Meta-Analysis.</w:t>
      </w:r>
    </w:p>
    <w:p>
      <w:pPr>
        <w:pStyle w:val="BodyText"/>
      </w:pPr>
      <w:r>
        <w:rPr>
          <w:b/>
          <w:bCs/>
        </w:rPr>
        <w:t xml:space="preserve">Журнал</w:t>
      </w:r>
      <w:r>
        <w:t xml:space="preserve">: AJR. American Journal of Roentgenology, 2024-Sep | </w:t>
      </w:r>
      <w:r>
        <w:rPr>
          <w:b/>
          <w:bCs/>
        </w:rPr>
        <w:t xml:space="preserve">Тип</w:t>
      </w:r>
      <w:r>
        <w:t xml:space="preserve">: Систематический обзор и метаанализ диагностической точности | </w:t>
      </w:r>
      <w:r>
        <w:rPr>
          <w:b/>
          <w:bCs/>
        </w:rPr>
        <w:t xml:space="preserve">Доступ</w:t>
      </w:r>
      <w:r>
        <w:t xml:space="preserve">: Закрытая | </w:t>
      </w:r>
      <w:r>
        <w:rPr>
          <w:b/>
          <w:bCs/>
        </w:rPr>
        <w:t xml:space="preserve">Цитирований</w:t>
      </w:r>
      <w:r>
        <w:t xml:space="preserve">: 15</w:t>
      </w:r>
    </w:p>
    <w:p>
      <w:pPr>
        <w:pStyle w:val="Keep"/>
        <w:keepNext/>
      </w:pPr>
      <w:r>
        <w:t xml:space="preserve">В 21 исследовании объединённые чувствительность и специфичность оценки измеряемого коэффициента диффузии (ИКД) составили 89% и 86%. Специфичность была выше при включении ИКД в мультипараметрическую МРТ, чем при изолированной оценке: 95% против 82%. Пороги различались от 0,87 до 1,29 × 10</w:t>
      </w:r>
      <w:r>
        <w:rPr>
          <w:vertAlign w:val="superscript"/>
        </w:rPr>
        <w:t xml:space="preserve">−3</w:t>
      </w:r>
      <w:r>
        <w:t xml:space="preserve"> мм²/с, поэтому источник поддерживает комплексную интерпретацию, а не универсальный самостоятельный порог для решения о наблюдении.</w:t>
      </w:r>
    </w:p>
    <w:p>
      <w:pPr>
        <w:pStyle w:val="Actions"/>
      </w:pPr>
      <w:hyperlink r:id="rId158" w:history="1">
        <w:r>
          <w:rPr>
            <w:rStyle w:val="Hyperlink"/>
          </w:rPr>
          <w:t xml:space="preserve">Оригинал</w:t>
        </w:r>
      </w:hyperlink>
      <w:r>
        <w:t xml:space="preserve"> · </w:t>
      </w:r>
      <w:hyperlink r:id="rId175" w:history="1">
        <w:r>
          <w:rPr>
            <w:rStyle w:val="Hyperlink"/>
          </w:rPr>
          <w:t xml:space="preserve">Аннотация на русском</w:t>
        </w:r>
      </w:hyperlink>
    </w:p>
    <w:p>
      <w:pPr>
        <w:pStyle w:val="Heading2"/>
        <w:keepNext/>
      </w:pPr>
      <w:r>
        <w:t xml:space="preserve">22. Диагностический алгоритм различения доброкачественных атипичных лейомиом и злокачественных сарком матки с помощью диффузионно-взвешенной МРТ</w:t>
      </w:r>
    </w:p>
    <w:p>
      <w:pPr>
        <w:pStyle w:val="Keep"/>
        <w:keepNext/>
      </w:pPr>
      <w:r>
        <w:rPr>
          <w:i/>
          <w:iCs/>
        </w:rPr>
        <w:t xml:space="preserve">Diagnostic Algorithm to Differentiate Benign Atypical Leiomyomas from Malignant Uterine Sarcomas with Diffusion-weighted MRI.</w:t>
      </w:r>
    </w:p>
    <w:p>
      <w:pPr>
        <w:pStyle w:val="BodyText"/>
      </w:pPr>
      <w:r>
        <w:rPr>
          <w:b/>
          <w:bCs/>
        </w:rPr>
        <w:t xml:space="preserve">Журнал</w:t>
      </w:r>
      <w:r>
        <w:t xml:space="preserve">: Radiology, 2020-Nov | </w:t>
      </w:r>
      <w:r>
        <w:rPr>
          <w:b/>
          <w:bCs/>
        </w:rPr>
        <w:t xml:space="preserve">Тип</w:t>
      </w:r>
      <w:r>
        <w:t xml:space="preserve">: Ретроспективное диагностическое исследование «случай-контроль» | </w:t>
      </w:r>
      <w:r>
        <w:rPr>
          <w:b/>
          <w:bCs/>
        </w:rPr>
        <w:t xml:space="preserve">Доступ</w:t>
      </w:r>
      <w:r>
        <w:t xml:space="preserve">: Закрытая | </w:t>
      </w:r>
      <w:r>
        <w:rPr>
          <w:b/>
          <w:bCs/>
        </w:rPr>
        <w:t xml:space="preserve">Цитирований</w:t>
      </w:r>
      <w:r>
        <w:t xml:space="preserve">: 94</w:t>
      </w:r>
    </w:p>
    <w:p>
      <w:pPr>
        <w:pStyle w:val="Keep"/>
        <w:keepNext/>
      </w:pPr>
      <w:r>
        <w:t xml:space="preserve">Алгоритм разработан на 51 саркоме и 105 лейомиомах, затем проверен на внешних выборках атипичных образований. В основной внешней проверке чувствительность составила 88%, 95% ДИ 64–97%, специфичность 100%, 95% ДИ 87–100%. Работа поддерживает структурированную оценку МРТ, но выборка обогащена злокачественными опухолями и не отражает обычную популяцию бессимптомных случайных находок.</w:t>
      </w:r>
    </w:p>
    <w:p>
      <w:pPr>
        <w:pStyle w:val="Actions"/>
      </w:pPr>
      <w:hyperlink r:id="rId161" w:history="1">
        <w:r>
          <w:rPr>
            <w:rStyle w:val="Hyperlink"/>
          </w:rPr>
          <w:t xml:space="preserve">Оригинал</w:t>
        </w:r>
      </w:hyperlink>
      <w:r>
        <w:t xml:space="preserve"> · </w:t>
      </w:r>
      <w:hyperlink r:id="rId176" w:history="1">
        <w:r>
          <w:rPr>
            <w:rStyle w:val="Hyperlink"/>
          </w:rPr>
          <w:t xml:space="preserve">Аннотация на русском</w:t>
        </w:r>
      </w:hyperlink>
    </w:p>
    <w:p>
      <w:pPr>
        <w:pStyle w:val="Heading2"/>
        <w:keepNext/>
      </w:pPr>
      <w:r>
        <w:t xml:space="preserve">23. Саркома матки или дегенерирующая миома? Проверка нового консенсусного МРТ-алгоритма оценки атипичных образований матки</w:t>
      </w:r>
    </w:p>
    <w:p>
      <w:pPr>
        <w:pStyle w:val="Keep"/>
        <w:keepNext/>
      </w:pPr>
      <w:r>
        <w:rPr>
          <w:i/>
          <w:iCs/>
        </w:rPr>
        <w:t xml:space="preserve">Uterine Sarcoma or Degenerating Fibroid? Validating the New Consensus Magnetic Resonance Imaging Algorithm for Evaluating Atypical Uterine Masses.</w:t>
      </w:r>
    </w:p>
    <w:p>
      <w:pPr>
        <w:pStyle w:val="BodyText"/>
      </w:pPr>
      <w:r>
        <w:rPr>
          <w:b/>
          <w:bCs/>
        </w:rPr>
        <w:t xml:space="preserve">Журнал</w:t>
      </w:r>
      <w:r>
        <w:t xml:space="preserve">: Journal of Computer Assisted Tomography, 2025 | </w:t>
      </w:r>
      <w:r>
        <w:rPr>
          <w:b/>
          <w:bCs/>
        </w:rPr>
        <w:t xml:space="preserve">Тип</w:t>
      </w:r>
      <w:r>
        <w:t xml:space="preserve">: Ретроспективное исследование диагностической точности | </w:t>
      </w:r>
      <w:r>
        <w:rPr>
          <w:b/>
          <w:bCs/>
        </w:rPr>
        <w:t xml:space="preserve">Доступ</w:t>
      </w:r>
      <w:r>
        <w:t xml:space="preserve">: Закрытая | </w:t>
      </w:r>
      <w:r>
        <w:rPr>
          <w:b/>
          <w:bCs/>
        </w:rPr>
        <w:t xml:space="preserve">Цитирований</w:t>
      </w:r>
      <w:r>
        <w:t xml:space="preserve">: 7</w:t>
      </w:r>
    </w:p>
    <w:p>
      <w:pPr>
        <w:pStyle w:val="Keep"/>
        <w:keepNext/>
      </w:pPr>
      <w:r>
        <w:t xml:space="preserve">Алгоритм проверили на 40 морфологически подтверждённых атипичных образованиях, включая 16 злокачественных опухолей и только шесть лейомиосарком. Чувствительность двух специалистов для всех злокачественных образований составила 75% и 81,2%, специфичность 95,8% и 91,7%. Полученная после исключения других опухолей чувствительность 100% основана на очень малой подгруппе и не доказывает безопасного исключения саркомы в обычной практике.</w:t>
      </w:r>
    </w:p>
    <w:p>
      <w:pPr>
        <w:pStyle w:val="Actions"/>
      </w:pPr>
      <w:hyperlink r:id="rId162" w:history="1">
        <w:r>
          <w:rPr>
            <w:rStyle w:val="Hyperlink"/>
          </w:rPr>
          <w:t xml:space="preserve">Оригинал</w:t>
        </w:r>
      </w:hyperlink>
      <w:r>
        <w:t xml:space="preserve"> · </w:t>
      </w:r>
      <w:hyperlink r:id="rId177" w:history="1">
        <w:r>
          <w:rPr>
            <w:rStyle w:val="Hyperlink"/>
          </w:rPr>
          <w:t xml:space="preserve">Аннотация на русском</w:t>
        </w:r>
      </w:hyperlink>
    </w:p>
    <w:p>
      <w:pPr>
        <w:pStyle w:val="Heading2"/>
        <w:keepNext/>
      </w:pPr>
      <w:r>
        <w:t xml:space="preserve">24. Ультразвуковые признаки саркомы матки и лейомиомы с использованием терминов и определений морфологической ультразвуковой оценки матки: когортное исследование</w:t>
      </w:r>
    </w:p>
    <w:p>
      <w:pPr>
        <w:pStyle w:val="Keep"/>
        <w:keepNext/>
      </w:pPr>
      <w:r>
        <w:rPr>
          <w:i/>
          <w:iCs/>
        </w:rPr>
        <w:t xml:space="preserve">Ultrasound features using MUSA terms and definitions in uterine sarcoma and leiomyoma: cohort study.</w:t>
      </w:r>
    </w:p>
    <w:p>
      <w:pPr>
        <w:pStyle w:val="BodyText"/>
      </w:pPr>
      <w:r>
        <w:rPr>
          <w:b/>
          <w:bCs/>
        </w:rPr>
        <w:t xml:space="preserve">Журнал</w:t>
      </w:r>
      <w:r>
        <w:t xml:space="preserve">: Ultrasound in Obstetrics &amp; Gynecology : the Official Journal of the International Society of Ultrasound in Obstetrics and Gynecology, 2024-May | </w:t>
      </w:r>
      <w:r>
        <w:rPr>
          <w:b/>
          <w:bCs/>
        </w:rPr>
        <w:t xml:space="preserve">Тип</w:t>
      </w:r>
      <w:r>
        <w:t xml:space="preserve">: Ретроспективное когортное исследование | </w:t>
      </w:r>
      <w:r>
        <w:rPr>
          <w:b/>
          <w:bCs/>
        </w:rPr>
        <w:t xml:space="preserve">Доступ</w:t>
      </w:r>
      <w:r>
        <w:t xml:space="preserve">: Открытая | </w:t>
      </w:r>
      <w:r>
        <w:rPr>
          <w:b/>
          <w:bCs/>
        </w:rPr>
        <w:t xml:space="preserve">Лицензия</w:t>
      </w:r>
      <w:r>
        <w:t xml:space="preserve">: Без открытой лицензии | </w:t>
      </w:r>
      <w:r>
        <w:rPr>
          <w:b/>
          <w:bCs/>
        </w:rPr>
        <w:t xml:space="preserve">Цитирований</w:t>
      </w:r>
      <w:r>
        <w:t xml:space="preserve">: 16</w:t>
      </w:r>
    </w:p>
    <w:p>
      <w:pPr>
        <w:pStyle w:val="Keep"/>
        <w:keepNext/>
      </w:pPr>
      <w:r>
        <w:t xml:space="preserve">В специализированном центре сравнили 16 сарком и 91 лейомиому; 64% пациенток обратились с кровотечением. Постменопауза встречалась у 81% пациенток с саркомой против 16% с миомой, но неоднородность структуры выявляли также у 56–75% доброкачественных узлов. Исследование описывает настораживающие сочетания признаков, одновременно показывая их перекрытие и ограниченное согласие специалистов; валидированные чувствительность и специфичность не представлены.</w:t>
      </w:r>
    </w:p>
    <w:p>
      <w:pPr>
        <w:pStyle w:val="Actions"/>
      </w:pPr>
      <w:hyperlink r:id="rId160" w:history="1">
        <w:r>
          <w:rPr>
            <w:rStyle w:val="Hyperlink"/>
          </w:rPr>
          <w:t xml:space="preserve">Оригинал</w:t>
        </w:r>
      </w:hyperlink>
      <w:r>
        <w:t xml:space="preserve"> · </w:t>
      </w:r>
      <w:hyperlink r:id="rId178" w:history="1">
        <w:r>
          <w:rPr>
            <w:rStyle w:val="Hyperlink"/>
          </w:rPr>
          <w:t xml:space="preserve">Аннотация на русском</w:t>
        </w:r>
      </w:hyperlink>
    </w:p>
    <w:p>
      <w:pPr>
        <w:pStyle w:val="Heading2"/>
        <w:keepNext/>
      </w:pPr>
      <w:r>
        <w:t xml:space="preserve">25. Сравнение дооперационных клинических характеристик саркомы матки и лейомиомы у пациенток с образованием матки: исследование «случай-контроль»</w:t>
      </w:r>
    </w:p>
    <w:p>
      <w:pPr>
        <w:pStyle w:val="Keep"/>
        <w:keepNext/>
      </w:pPr>
      <w:r>
        <w:rPr>
          <w:i/>
          <w:iCs/>
        </w:rPr>
        <w:t xml:space="preserve">Preoperative clinical characteristics between uterine sarcoma and leiomyoma in patients with uterine mass, a case-control study.</w:t>
      </w:r>
    </w:p>
    <w:p>
      <w:pPr>
        <w:pStyle w:val="BodyText"/>
      </w:pPr>
      <w:r>
        <w:rPr>
          <w:b/>
          <w:bCs/>
        </w:rPr>
        <w:t xml:space="preserve">Журнал</w:t>
      </w:r>
      <w:r>
        <w:t xml:space="preserve">: European Journal of Obstetrics, Gynecology, and Reproductive Biology, 2022-Mar | </w:t>
      </w:r>
      <w:r>
        <w:rPr>
          <w:b/>
          <w:bCs/>
        </w:rPr>
        <w:t xml:space="preserve">Тип</w:t>
      </w:r>
      <w:r>
        <w:t xml:space="preserve">: Ретроспективное исследование «случай-контроль» | </w:t>
      </w:r>
      <w:r>
        <w:rPr>
          <w:b/>
          <w:bCs/>
        </w:rPr>
        <w:t xml:space="preserve">Доступ</w:t>
      </w:r>
      <w:r>
        <w:t xml:space="preserve">: Открытая | </w:t>
      </w:r>
      <w:r>
        <w:rPr>
          <w:b/>
          <w:bCs/>
        </w:rPr>
        <w:t xml:space="preserve">Лицензия</w:t>
      </w:r>
      <w:r>
        <w:t xml:space="preserve">: CC-BY-NC-ND | </w:t>
      </w:r>
      <w:r>
        <w:rPr>
          <w:b/>
          <w:bCs/>
        </w:rPr>
        <w:t xml:space="preserve">Цитирований</w:t>
      </w:r>
      <w:r>
        <w:t xml:space="preserve">: 14</w:t>
      </w:r>
    </w:p>
    <w:p>
      <w:pPr>
        <w:pStyle w:val="Keep"/>
        <w:keepNext/>
      </w:pPr>
      <w:r>
        <w:t xml:space="preserve">Среди хирургически обследованных пациенток 68 случаев саркомы сравнили с четырьмя контролями на каждый случай. Постменопауза была связана с саркомой с поправленной ОШ 8,57, 95% ДИ 2,38–30,82, сообщаемый быстрый рост с ОШ 6,91, 95% ДИ 2,08–22,91. Это маркеры риска в отобранной хирургической популяции, а не диагностические критерии для бессимптомной женщины.</w:t>
      </w:r>
    </w:p>
    <w:p>
      <w:pPr>
        <w:pStyle w:val="Actions"/>
      </w:pPr>
      <w:hyperlink r:id="rId159" w:history="1">
        <w:r>
          <w:rPr>
            <w:rStyle w:val="Hyperlink"/>
          </w:rPr>
          <w:t xml:space="preserve">Оригинал</w:t>
        </w:r>
      </w:hyperlink>
      <w:r>
        <w:t xml:space="preserve"> · </w:t>
      </w:r>
      <w:hyperlink r:id="rId179" w:history="1">
        <w:r>
          <w:rPr>
            <w:rStyle w:val="Hyperlink"/>
          </w:rPr>
          <w:t xml:space="preserve">Аннотация на русском</w:t>
        </w:r>
      </w:hyperlink>
    </w:p>
    <w:p>
      <w:pPr>
        <w:pStyle w:val="Heading2"/>
        <w:keepNext/>
      </w:pPr>
      <w:r>
        <w:t xml:space="preserve">26. Рекомендации ESGO/EURACAN/GCIG по ведению пациенток с саркомами матки</w:t>
      </w:r>
    </w:p>
    <w:p>
      <w:pPr>
        <w:pStyle w:val="Keep"/>
        <w:keepNext/>
      </w:pPr>
      <w:r>
        <w:rPr>
          <w:i/>
          <w:iCs/>
        </w:rPr>
        <w:t xml:space="preserve">ESGO/EURACAN/GCIG guidelines for the management of patients with uterine sarcomas.</w:t>
      </w:r>
    </w:p>
    <w:p>
      <w:pPr>
        <w:pStyle w:val="BodyText"/>
      </w:pPr>
      <w:r>
        <w:rPr>
          <w:b/>
          <w:bCs/>
        </w:rPr>
        <w:t xml:space="preserve">Журнал</w:t>
      </w:r>
      <w:r>
        <w:t xml:space="preserve">: International Journal of Gynecological Cancer : Official Journal of the International Gynecological Cancer Society, 2024-Oct-07 | </w:t>
      </w:r>
      <w:r>
        <w:rPr>
          <w:b/>
          <w:bCs/>
        </w:rPr>
        <w:t xml:space="preserve">Тип</w:t>
      </w:r>
      <w:r>
        <w:t xml:space="preserve">: Клинические рекомендации | </w:t>
      </w:r>
      <w:r>
        <w:rPr>
          <w:b/>
          <w:bCs/>
        </w:rPr>
        <w:t xml:space="preserve">Доступ</w:t>
      </w:r>
      <w:r>
        <w:t xml:space="preserve">: Открытая | </w:t>
      </w:r>
      <w:r>
        <w:rPr>
          <w:b/>
          <w:bCs/>
        </w:rPr>
        <w:t xml:space="preserve">Лицензия</w:t>
      </w:r>
      <w:r>
        <w:t xml:space="preserve">: CC-BY-NC | </w:t>
      </w:r>
      <w:r>
        <w:rPr>
          <w:b/>
          <w:bCs/>
        </w:rPr>
        <w:t xml:space="preserve">Цитирований</w:t>
      </w:r>
      <w:r>
        <w:t xml:space="preserve">: 64</w:t>
      </w:r>
    </w:p>
    <w:p>
      <w:pPr>
        <w:pStyle w:val="Keep"/>
        <w:keepNext/>
      </w:pPr>
      <w:r>
        <w:t xml:space="preserve">Руководство описывает маршрут для подозрительного образования. При атипичной картине УЗИ оно предлагает МРТ или экспертное УЗИ, а подозрительную визуализацию оценивать в специализированном центре. Трепанобиопсию документ оставляет для случаев, когда немедленная гистерэктомия невозможна, с экспертной оценкой ткани. Документ применим к подозрительной находке, а не к скринингу каждой бессимптомной миомы.</w:t>
      </w:r>
    </w:p>
    <w:p>
      <w:pPr>
        <w:pStyle w:val="Actions"/>
      </w:pPr>
      <w:hyperlink r:id="rId156" w:history="1">
        <w:r>
          <w:rPr>
            <w:rStyle w:val="Hyperlink"/>
          </w:rPr>
          <w:t xml:space="preserve">Оригинал</w:t>
        </w:r>
      </w:hyperlink>
      <w:r>
        <w:t xml:space="preserve"> · </w:t>
      </w:r>
      <w:hyperlink r:id="rId180" w:history="1">
        <w:r>
          <w:rPr>
            <w:rStyle w:val="Hyperlink"/>
          </w:rPr>
          <w:t xml:space="preserve">Аннотация на русском</w:t>
        </w:r>
      </w:hyperlink>
    </w:p>
    <w:p>
      <w:pPr>
        <w:pStyle w:val="Heading2"/>
        <w:keepNext/>
      </w:pPr>
      <w:r>
        <w:t xml:space="preserve">27. Основы ESR: злокачественные опухоли матки. Практические рекомендации Европейского общества урогенитальной радиологии</w:t>
      </w:r>
    </w:p>
    <w:p>
      <w:pPr>
        <w:pStyle w:val="Keep"/>
        <w:keepNext/>
      </w:pPr>
      <w:r>
        <w:rPr>
          <w:i/>
          <w:iCs/>
        </w:rPr>
        <w:t xml:space="preserve">ESR Essentials: uterine cancers-practice recommendations by the European Society of Urogenital Radiology.</w:t>
      </w:r>
    </w:p>
    <w:p>
      <w:pPr>
        <w:pStyle w:val="BodyText"/>
      </w:pPr>
      <w:r>
        <w:rPr>
          <w:b/>
          <w:bCs/>
        </w:rPr>
        <w:t xml:space="preserve">Журнал</w:t>
      </w:r>
      <w:r>
        <w:t xml:space="preserve">: European Radiology, 2026-Jul-01 | </w:t>
      </w:r>
      <w:r>
        <w:rPr>
          <w:b/>
          <w:bCs/>
        </w:rPr>
        <w:t xml:space="preserve">Тип</w:t>
      </w:r>
      <w:r>
        <w:t xml:space="preserve">: Практические рекомендации | </w:t>
      </w:r>
      <w:r>
        <w:rPr>
          <w:b/>
          <w:bCs/>
        </w:rPr>
        <w:t xml:space="preserve">Доступ</w:t>
      </w:r>
      <w:r>
        <w:t xml:space="preserve">: Открытая | </w:t>
      </w:r>
      <w:r>
        <w:rPr>
          <w:b/>
          <w:bCs/>
        </w:rPr>
        <w:t xml:space="preserve">Лицензия</w:t>
      </w:r>
      <w:r>
        <w:t xml:space="preserve">: CC-BY | </w:t>
      </w:r>
      <w:r>
        <w:rPr>
          <w:b/>
          <w:bCs/>
        </w:rPr>
        <w:t xml:space="preserve">Цитирований</w:t>
      </w:r>
      <w:r>
        <w:t xml:space="preserve">: 0</w:t>
      </w:r>
    </w:p>
    <w:p>
      <w:pPr>
        <w:pStyle w:val="Keep"/>
        <w:keepNext/>
      </w:pPr>
      <w:r>
        <w:t xml:space="preserve">Документ рекомендует мультипараметрическую МРТ для неопределённых миометриальных образований, включая различение миомы и лейомиосаркомы. Среди подозрительных признаков рассматривает ограничение диффузии и предложенный порог ИКД &lt;0,9 × 10</w:t>
      </w:r>
      <w:r>
        <w:rPr>
          <w:vertAlign w:val="superscript"/>
        </w:rPr>
        <w:t xml:space="preserve">−3</w:t>
      </w:r>
      <w:r>
        <w:t xml:space="preserve"> мм²/с, но подчёркивает перекрытие признаков. Источник обеспечивает современную практическую основу выбора метода и протокола, не превращая отдельный порог в гарантию доброкачественности.</w:t>
      </w:r>
    </w:p>
    <w:p>
      <w:pPr>
        <w:pStyle w:val="Actions"/>
      </w:pPr>
      <w:hyperlink r:id="rId157" w:history="1">
        <w:r>
          <w:rPr>
            <w:rStyle w:val="Hyperlink"/>
          </w:rPr>
          <w:t xml:space="preserve">Оригинал</w:t>
        </w:r>
      </w:hyperlink>
      <w:r>
        <w:t xml:space="preserve"> · </w:t>
      </w:r>
      <w:hyperlink r:id="rId181" w:history="1">
        <w:r>
          <w:rPr>
            <w:rStyle w:val="Hyperlink"/>
          </w:rPr>
          <w:t xml:space="preserve">Аннотация на русском</w:t>
        </w:r>
      </w:hyperlink>
    </w:p>
    <w:p>
      <w:pPr>
        <w:pStyle w:val="Heading1"/>
        <w:keepNext/>
        <w:pageBreakBefore/>
      </w:pPr>
      <w:r>
        <w:t xml:space="preserve">Список литературы по ГОСТ Р 7.0.5-2008 и ГОСТ Р 7.0.108-2022</w:t>
      </w:r>
    </w:p>
    <w:p>
      <w:pPr>
        <w:pStyle w:val="Compact"/>
        <w:numPr>
          <w:ilvl w:val="0"/>
          <w:numId w:val="6"/>
        </w:numPr>
      </w:pPr>
      <w:r>
        <w:t xml:space="preserve">Guideline No. 461: The Management of Uterine Fibroids / I. Chen, S. Kives, E. Randle [et al.]. DOI 10.1016/j.jogc.2025.102970 // Journal of Obstetrics and Gynaecology Canada. 2025. Vol. 47, No. 8. Art. 102970. URL: </w:t>
      </w:r>
      <w:hyperlink r:id="rId101" w:history="1">
        <w:r>
          <w:rPr>
            <w:rStyle w:val="Hyperlink"/>
          </w:rPr>
          <w:t xml:space="preserve">https://doi.org/10.1016/j.jogc.2025.102970</w:t>
        </w:r>
      </w:hyperlink>
      <w:r>
        <w:t xml:space="preserve"> (дата обращения: 06.10.2026).</w:t>
      </w:r>
    </w:p>
    <w:p>
      <w:pPr>
        <w:pStyle w:val="Compact"/>
        <w:numPr>
          <w:ilvl w:val="0"/>
          <w:numId w:val="6"/>
        </w:numPr>
      </w:pPr>
      <w:r>
        <w:t xml:space="preserve">Natural history of uterine polyps and leiomyomata / D. J. DeWaay, C. H. Syrop, I. E. Nygaard [et al.]. DOI 10.1016/s0029-7844(02)02007-0 // Obstetrics &amp; Gynecology. 2002. Vol. 100, No. 1. P. 3–7. URL: </w:t>
      </w:r>
      <w:hyperlink r:id="rId109" w:history="1">
        <w:r>
          <w:rPr>
            <w:rStyle w:val="Hyperlink"/>
          </w:rPr>
          <w:t xml:space="preserve">https://doi.org/10.1016/s0029-7844(02)02007-0</w:t>
        </w:r>
      </w:hyperlink>
      <w:r>
        <w:t xml:space="preserve"> (дата обращения: 06.10.2026).</w:t>
      </w:r>
    </w:p>
    <w:p>
      <w:pPr>
        <w:pStyle w:val="Compact"/>
        <w:numPr>
          <w:ilvl w:val="0"/>
          <w:numId w:val="6"/>
        </w:numPr>
      </w:pPr>
      <w:r>
        <w:t xml:space="preserve">Growth of uterine leiomyomata among premenopausal black and white women / S. D. Peddada, S. K. Laughlin, K. Miner [et al.]. DOI 10.1073/pnas.0808188105 // Proceedings of the National Academy of Sciences. 2008. Vol. 105, No. 50. P. 19887–19892. URL: </w:t>
      </w:r>
      <w:hyperlink r:id="rId107" w:history="1">
        <w:r>
          <w:rPr>
            <w:rStyle w:val="Hyperlink"/>
          </w:rPr>
          <w:t xml:space="preserve">https://doi.org/10.1073/pnas.0808188105</w:t>
        </w:r>
      </w:hyperlink>
      <w:r>
        <w:t xml:space="preserve"> (дата обращения: 06.10.2026).</w:t>
      </w:r>
    </w:p>
    <w:p>
      <w:pPr>
        <w:pStyle w:val="Compact"/>
        <w:numPr>
          <w:ilvl w:val="0"/>
          <w:numId w:val="6"/>
        </w:numPr>
      </w:pPr>
      <w:r>
        <w:t xml:space="preserve">Uterine fibroid incidence and growth in an ultrasound-based, prospective study of young African Americans / D. D. Baird, S. A. Patchel, T. M. Saldana [et al.]. DOI 10.1016/j.ajog.2020.02.016 // American Journal of Obstetrics and Gynecology. 2020. Vol. 223, No. 3. P. 402.e1–402.e18. URL: </w:t>
      </w:r>
      <w:hyperlink r:id="rId108" w:history="1">
        <w:r>
          <w:rPr>
            <w:rStyle w:val="Hyperlink"/>
          </w:rPr>
          <w:t xml:space="preserve">https://doi.org/10.1016/j.ajog.2020.02.016</w:t>
        </w:r>
      </w:hyperlink>
      <w:r>
        <w:t xml:space="preserve"> (дата обращения: 06.10.2026).</w:t>
      </w:r>
    </w:p>
    <w:p>
      <w:pPr>
        <w:pStyle w:val="Compact"/>
        <w:numPr>
          <w:ilvl w:val="0"/>
          <w:numId w:val="6"/>
        </w:numPr>
      </w:pPr>
      <w:r>
        <w:t xml:space="preserve">Growth of surgically confirmed leiomyomas in postmenopausal women: analysis of the influencing factors / M. Shen, H. Duan, Y. Chang [et al.]. DOI 10.1097/GME.0000000000001846 // Menopause. 2021. Vol. 28, No. 11. P. 1209–1213. URL: </w:t>
      </w:r>
      <w:hyperlink r:id="rId120" w:history="1">
        <w:r>
          <w:rPr>
            <w:rStyle w:val="Hyperlink"/>
          </w:rPr>
          <w:t xml:space="preserve">https://doi.org/10.1097/GME.0000000000001846</w:t>
        </w:r>
      </w:hyperlink>
      <w:r>
        <w:t xml:space="preserve"> (дата обращения: 06.10.2026).</w:t>
      </w:r>
    </w:p>
    <w:p>
      <w:pPr>
        <w:pStyle w:val="Compact"/>
        <w:numPr>
          <w:ilvl w:val="0"/>
          <w:numId w:val="6"/>
        </w:numPr>
      </w:pPr>
      <w:r>
        <w:t xml:space="preserve">Uterine Fibroids: Rapid Evidence Review / American Academy of Family Physicians. 2025. URL: </w:t>
      </w:r>
      <w:hyperlink r:id="rId119" w:history="1">
        <w:r>
          <w:rPr>
            <w:rStyle w:val="Hyperlink"/>
          </w:rPr>
          <w:t xml:space="preserve">https://www.aafp.org/afp/2025/1000/uterine-fibroids</w:t>
        </w:r>
      </w:hyperlink>
      <w:r>
        <w:t xml:space="preserve"> (дата обращения: 06.10.2026).</w:t>
      </w:r>
    </w:p>
    <w:p>
      <w:pPr>
        <w:pStyle w:val="Compact"/>
        <w:numPr>
          <w:ilvl w:val="0"/>
          <w:numId w:val="6"/>
        </w:numPr>
      </w:pPr>
      <w:r>
        <w:t xml:space="preserve">Uterine Morcellation for Presumed Leiomyomas: ACOG Committee Opinion, Number 822. DOI 10.1097/AOG.0000000000004291 // Obstetrics &amp; Gynecology. 2021. Vol. 137, No. 3. P. e63–e74. URL: </w:t>
      </w:r>
      <w:hyperlink r:id="rId113" w:history="1">
        <w:r>
          <w:rPr>
            <w:rStyle w:val="Hyperlink"/>
          </w:rPr>
          <w:t xml:space="preserve">https://doi.org/10.1097/AOG.0000000000004291</w:t>
        </w:r>
      </w:hyperlink>
      <w:r>
        <w:t xml:space="preserve"> (дата обращения: 06.10.2026).</w:t>
      </w:r>
    </w:p>
    <w:p>
      <w:pPr>
        <w:pStyle w:val="Compact"/>
        <w:numPr>
          <w:ilvl w:val="0"/>
          <w:numId w:val="6"/>
        </w:numPr>
      </w:pPr>
      <w:r>
        <w:t xml:space="preserve">The prevalence of occult leiomyosarcoma at surgery for presumed uterine fibroids: a meta-analysis / E. A. Pritts, D. J. Vanness, J. S. Berek [et al.]. DOI 10.1007/s10397-015-0894-4 // Gynecological Surgery. 2015. Vol. 12, No. 3. P. 165–177. URL: </w:t>
      </w:r>
      <w:hyperlink r:id="rId112" w:history="1">
        <w:r>
          <w:rPr>
            <w:rStyle w:val="Hyperlink"/>
          </w:rPr>
          <w:t xml:space="preserve">https://doi.org/10.1007/s10397-015-0894-4</w:t>
        </w:r>
      </w:hyperlink>
      <w:r>
        <w:t xml:space="preserve"> (дата обращения: 06.10.2026).</w:t>
      </w:r>
    </w:p>
    <w:p>
      <w:pPr>
        <w:pStyle w:val="Compact"/>
        <w:numPr>
          <w:ilvl w:val="0"/>
          <w:numId w:val="6"/>
        </w:numPr>
      </w:pPr>
      <w:r>
        <w:t xml:space="preserve">Removal of myomas in asymptomatic patients to improve fertility and/or reduce miscarriage rate: a guideline / Practice Committee of the American Society for Reproductive Medicine. DOI 10.1016/j.fertnstert.2017.06.034 // Fertility and Sterility. 2017. Vol. 108, No. 3. P. 416–425. URL: </w:t>
      </w:r>
      <w:hyperlink r:id="rId103" w:history="1">
        <w:r>
          <w:rPr>
            <w:rStyle w:val="Hyperlink"/>
          </w:rPr>
          <w:t xml:space="preserve">https://doi.org/10.1016/j.fertnstert.2017.06.034</w:t>
        </w:r>
      </w:hyperlink>
      <w:r>
        <w:t xml:space="preserve"> (дата обращения: 06.10.2026).</w:t>
      </w:r>
    </w:p>
    <w:p>
      <w:pPr>
        <w:pStyle w:val="Compact"/>
        <w:numPr>
          <w:ilvl w:val="0"/>
          <w:numId w:val="6"/>
        </w:numPr>
      </w:pPr>
      <w:r>
        <w:t xml:space="preserve">Carranza-Mamane B., Havelock J., Hemmings R. The management of uterine fibroids in women with otherwise unexplained infertility. DOI 10.1016/S1701-2163(15)30318-2 // Journal of Obstetrics and Gynaecology Canada. 2015. Vol. 37, No. 3. P. 277–285. URL: </w:t>
      </w:r>
      <w:hyperlink r:id="rId137" w:history="1">
        <w:r>
          <w:rPr>
            <w:rStyle w:val="Hyperlink"/>
          </w:rPr>
          <w:t xml:space="preserve">https://doi.org/10.1016/S1701-2163(15)30318-2</w:t>
        </w:r>
      </w:hyperlink>
      <w:r>
        <w:t xml:space="preserve"> (дата обращения: 06.10.2026).</w:t>
      </w:r>
    </w:p>
    <w:p>
      <w:pPr>
        <w:pStyle w:val="Compact"/>
        <w:numPr>
          <w:ilvl w:val="0"/>
          <w:numId w:val="6"/>
        </w:numPr>
      </w:pPr>
      <w:r>
        <w:t xml:space="preserve">Surgical treatment of fibroids for subfertility / M. Metwally, G. Raybould, Y. C. Cheong [et al.]. DOI 10.1002/14651858.CD003857.pub4 // Cochrane Database of Systematic Reviews. 2020. Vol. 1, No. 1. Art. CD003857. URL: </w:t>
      </w:r>
      <w:hyperlink r:id="rId104" w:history="1">
        <w:r>
          <w:rPr>
            <w:rStyle w:val="Hyperlink"/>
          </w:rPr>
          <w:t xml:space="preserve">https://doi.org/10.1002/14651858.CD003857.pub4</w:t>
        </w:r>
      </w:hyperlink>
      <w:r>
        <w:t xml:space="preserve"> (дата обращения: 06.10.2026).</w:t>
      </w:r>
    </w:p>
    <w:p>
      <w:pPr>
        <w:pStyle w:val="Compact"/>
        <w:numPr>
          <w:ilvl w:val="0"/>
          <w:numId w:val="6"/>
        </w:numPr>
      </w:pPr>
      <w:r>
        <w:t xml:space="preserve">Intramural Leiomyomas and Fertility: A Systematic Review and Meta-Analysis / T. L. Pritts, M. Ogden, W. Parker [et al.]. DOI 10.1097/AOG.0000000000005661 // Obstetrics &amp; Gynecology. 2024. Vol. 144, No. 2. P. 171–179. URL: </w:t>
      </w:r>
      <w:hyperlink r:id="rId105" w:history="1">
        <w:r>
          <w:rPr>
            <w:rStyle w:val="Hyperlink"/>
          </w:rPr>
          <w:t xml:space="preserve">https://doi.org/10.1097/AOG.0000000000005661</w:t>
        </w:r>
      </w:hyperlink>
      <w:r>
        <w:t xml:space="preserve"> (дата обращения: 06.10.2026).</w:t>
      </w:r>
    </w:p>
    <w:p>
      <w:pPr>
        <w:pStyle w:val="Compact"/>
        <w:numPr>
          <w:ilvl w:val="0"/>
          <w:numId w:val="6"/>
        </w:numPr>
      </w:pPr>
      <w:r>
        <w:t xml:space="preserve">Myomectomy for intramural fibroids prior to in vitro fertilization/intracytoplasmic sperm injection cycles, a conundrum: Systematic review and meta-analysis / S. Verma, A. Shanbhag, S. Salim [et al.]. DOI 10.1002/ijgo.70748 // International Journal of Gynecology &amp; Obstetrics. 2026. Vol. 173, No. 3. P. 1256–1264. URL: </w:t>
      </w:r>
      <w:hyperlink r:id="rId106" w:history="1">
        <w:r>
          <w:rPr>
            <w:rStyle w:val="Hyperlink"/>
          </w:rPr>
          <w:t xml:space="preserve">https://doi.org/10.1002/ijgo.70748</w:t>
        </w:r>
      </w:hyperlink>
      <w:r>
        <w:t xml:space="preserve"> (дата обращения: 06.10.2026).</w:t>
      </w:r>
    </w:p>
    <w:p>
      <w:pPr>
        <w:pStyle w:val="Compact"/>
        <w:numPr>
          <w:ilvl w:val="0"/>
          <w:numId w:val="6"/>
        </w:numPr>
      </w:pPr>
      <w:r>
        <w:t xml:space="preserve">The effect of ≤6 cm sized noncavity-distorting intramural fibroids on in vitro fertilization outcomes: a systematic review and meta-analysis / M. Erden, E. Uyanik, M. Polat [et al.]. DOI 10.1016/j.fertnstert.2023.02.018 // Fertility and Sterility. 2023. Vol. 119, No. 6. P. 996–1007. URL: </w:t>
      </w:r>
      <w:hyperlink r:id="rId110" w:history="1">
        <w:r>
          <w:rPr>
            <w:rStyle w:val="Hyperlink"/>
          </w:rPr>
          <w:t xml:space="preserve">https://doi.org/10.1016/j.fertnstert.2023.02.018</w:t>
        </w:r>
      </w:hyperlink>
      <w:r>
        <w:t xml:space="preserve"> (дата обращения: 06.10.2026).</w:t>
      </w:r>
    </w:p>
    <w:p>
      <w:pPr>
        <w:pStyle w:val="Compact"/>
        <w:numPr>
          <w:ilvl w:val="0"/>
          <w:numId w:val="6"/>
        </w:numPr>
      </w:pPr>
      <w:r>
        <w:t xml:space="preserve">Fibroids and natural fertility: a systematic review and meta-analysis / E. Somigliana, M. Reschini, V. Bonanni [et al.]. DOI 10.1016/j.rbmo.2021.03.013 // Reproductive BioMedicine Online. 2021. Vol. 43, No. 1. P. 100–110. URL: </w:t>
      </w:r>
      <w:hyperlink r:id="rId135" w:history="1">
        <w:r>
          <w:rPr>
            <w:rStyle w:val="Hyperlink"/>
          </w:rPr>
          <w:t xml:space="preserve">https://doi.org/10.1016/j.rbmo.2021.03.013</w:t>
        </w:r>
      </w:hyperlink>
      <w:r>
        <w:t xml:space="preserve"> (дата обращения: 06.10.2026).</w:t>
      </w:r>
    </w:p>
    <w:p>
      <w:pPr>
        <w:pStyle w:val="Compact"/>
        <w:numPr>
          <w:ilvl w:val="0"/>
          <w:numId w:val="6"/>
        </w:numPr>
      </w:pPr>
      <w:r>
        <w:t xml:space="preserve">Intrauterine adhesions following fibroid surgery: incidence and prevention strategies. A systematic review / A. Lazaridis, A. L. Grammatis, M. Hirsch [et al.]. DOI 10.23736/S2724-606X.25.05733-1 // Minerva Obstetrics and Gynecology. 2025. Vol. 77, No. 6. P. 527–536. URL: </w:t>
      </w:r>
      <w:hyperlink r:id="rId114" w:history="1">
        <w:r>
          <w:rPr>
            <w:rStyle w:val="Hyperlink"/>
          </w:rPr>
          <w:t xml:space="preserve">https://doi.org/10.23736/S2724-606X.25.05733-1</w:t>
        </w:r>
      </w:hyperlink>
      <w:r>
        <w:t xml:space="preserve"> (дата обращения: 06.10.2026).</w:t>
      </w:r>
    </w:p>
    <w:p>
      <w:pPr>
        <w:pStyle w:val="Compact"/>
        <w:numPr>
          <w:ilvl w:val="0"/>
          <w:numId w:val="6"/>
        </w:numPr>
      </w:pPr>
      <w:r>
        <w:t xml:space="preserve">Removal of FIGO V and VI fibroids with a combined size greater than 5 cm quadruples spontaneous fecundity relative to myomectomy for those with smaller fibroids / M. Boegl, J. Ott, E. Seidl [et al.]. DOI 10.1007/s00404-025-08063-x // Archives of Gynecology and Obstetrics. 2025. Vol. 312, No. 2. P. 635–640. URL: </w:t>
      </w:r>
      <w:hyperlink r:id="rId136" w:history="1">
        <w:r>
          <w:rPr>
            <w:rStyle w:val="Hyperlink"/>
          </w:rPr>
          <w:t xml:space="preserve">https://doi.org/10.1007/s00404-025-08063-x</w:t>
        </w:r>
      </w:hyperlink>
      <w:r>
        <w:t xml:space="preserve"> (дата обращения: 06.10.2026).</w:t>
      </w:r>
    </w:p>
    <w:p>
      <w:pPr>
        <w:pStyle w:val="Compact"/>
        <w:numPr>
          <w:ilvl w:val="0"/>
          <w:numId w:val="6"/>
        </w:numPr>
      </w:pPr>
      <w:r>
        <w:t xml:space="preserve">Миома матки : клинические рекомендации / Российское общество акушеров-гинекологов. 2024. URL: </w:t>
      </w:r>
      <w:hyperlink r:id="rId102" w:history="1">
        <w:r>
          <w:rPr>
            <w:rStyle w:val="Hyperlink"/>
          </w:rPr>
          <w:t xml:space="preserve">https://cr.minzdrav.gov.ru/view-cr/257_2</w:t>
        </w:r>
      </w:hyperlink>
      <w:r>
        <w:t xml:space="preserve"> (дата обращения: 06.10.2026).</w:t>
      </w:r>
    </w:p>
    <w:p>
      <w:pPr>
        <w:pStyle w:val="Compact"/>
        <w:numPr>
          <w:ilvl w:val="0"/>
          <w:numId w:val="6"/>
        </w:numPr>
      </w:pPr>
      <w:r>
        <w:t xml:space="preserve">MRI Evaluation of Uterine Masses for Risk of Leiomyosarcoma: A Consensus Statement / N. Hindman, S. Kang, L. Fournier [et al.]. DOI 10.1148/radiol.211658 // Radiology. 2023. Vol. 306, No. 2. Art. e211658. URL: </w:t>
      </w:r>
      <w:hyperlink r:id="rId172" w:history="1">
        <w:r>
          <w:rPr>
            <w:rStyle w:val="Hyperlink"/>
          </w:rPr>
          <w:t xml:space="preserve">https://doi.org/10.1148/radiol.211658</w:t>
        </w:r>
      </w:hyperlink>
      <w:r>
        <w:t xml:space="preserve"> (дата обращения: 06.10.2026).</w:t>
      </w:r>
    </w:p>
    <w:p>
      <w:pPr>
        <w:pStyle w:val="Compact"/>
        <w:numPr>
          <w:ilvl w:val="0"/>
          <w:numId w:val="6"/>
        </w:numPr>
      </w:pPr>
      <w:r>
        <w:t xml:space="preserve">MRI for diagnosing uterine sarcoma: a systematic review and meta-analysis / T. Saida, T. Ueda, M. Kurihara [et al.]. DOI 10.1007/s11604-026-01952-4 // Japanese Journal of Radiology. 2026. Vol. 44, No. 6. P. 976–986. URL: </w:t>
      </w:r>
      <w:hyperlink r:id="rId111" w:history="1">
        <w:r>
          <w:rPr>
            <w:rStyle w:val="Hyperlink"/>
          </w:rPr>
          <w:t xml:space="preserve">https://doi.org/10.1007/s11604-026-01952-4</w:t>
        </w:r>
      </w:hyperlink>
      <w:r>
        <w:t xml:space="preserve"> (дата обращения: 06.10.2026).</w:t>
      </w:r>
    </w:p>
    <w:p>
      <w:pPr>
        <w:pStyle w:val="Compact"/>
        <w:numPr>
          <w:ilvl w:val="0"/>
          <w:numId w:val="6"/>
        </w:numPr>
      </w:pPr>
      <w:r>
        <w:t xml:space="preserve">Utility of ADC Values for Differentiating Uterine Sarcomas From Leiomyomas: Systematic Review and Meta-Analysis / S. Woo, S. R. Beier, A. Tong [et al.]. DOI 10.2214/AJR.24.31280 // American Journal of Roentgenology. 2024. Vol. 223, No. 3. Art. e2431280. URL: </w:t>
      </w:r>
      <w:hyperlink r:id="rId158" w:history="1">
        <w:r>
          <w:rPr>
            <w:rStyle w:val="Hyperlink"/>
          </w:rPr>
          <w:t xml:space="preserve">https://doi.org/10.2214/AJR.24.31280</w:t>
        </w:r>
      </w:hyperlink>
      <w:r>
        <w:t xml:space="preserve"> (дата обращения: 06.10.2026).</w:t>
      </w:r>
    </w:p>
    <w:p>
      <w:pPr>
        <w:pStyle w:val="Compact"/>
        <w:numPr>
          <w:ilvl w:val="0"/>
          <w:numId w:val="6"/>
        </w:numPr>
      </w:pPr>
      <w:r>
        <w:t xml:space="preserve">Diagnostic Algorithm to Differentiate Benign Atypical Leiomyomas from Malignant Uterine Sarcomas with Diffusion-weighted MRI / C. Abdel Wahab, A.-S. Jannot, P. A. Bonaffini [et al.]. DOI 10.1148/radiol.2020191658 // Radiology. 2020. Vol. 297, No. 2. P. 361–371. URL: </w:t>
      </w:r>
      <w:hyperlink r:id="rId161" w:history="1">
        <w:r>
          <w:rPr>
            <w:rStyle w:val="Hyperlink"/>
          </w:rPr>
          <w:t xml:space="preserve">https://doi.org/10.1148/radiol.2020191658</w:t>
        </w:r>
      </w:hyperlink>
      <w:r>
        <w:t xml:space="preserve"> (дата обращения: 06.10.2026).</w:t>
      </w:r>
    </w:p>
    <w:p>
      <w:pPr>
        <w:pStyle w:val="Compact"/>
        <w:numPr>
          <w:ilvl w:val="0"/>
          <w:numId w:val="6"/>
        </w:numPr>
      </w:pPr>
      <w:r>
        <w:t xml:space="preserve">Uterine Sarcoma or Degenerating Fibroid? Validating the New Consensus Magnetic Resonance Imaging Algorithm for Evaluating Atypical Uterine Masses / J. M. Horowitz, C. Lopes Vendrami, Y. S. Velichko [et al.]. DOI 10.1097/RCT.0000000000001656 // Journal of Computer Assisted Tomography. 2025. Vol. 49, No. 1. P. 57–63. URL: </w:t>
      </w:r>
      <w:hyperlink r:id="rId162" w:history="1">
        <w:r>
          <w:rPr>
            <w:rStyle w:val="Hyperlink"/>
          </w:rPr>
          <w:t xml:space="preserve">https://doi.org/10.1097/RCT.0000000000001656</w:t>
        </w:r>
      </w:hyperlink>
      <w:r>
        <w:t xml:space="preserve"> (дата обращения: 06.10.2026).</w:t>
      </w:r>
    </w:p>
    <w:p>
      <w:pPr>
        <w:pStyle w:val="Compact"/>
        <w:numPr>
          <w:ilvl w:val="0"/>
          <w:numId w:val="6"/>
        </w:numPr>
      </w:pPr>
      <w:r>
        <w:t xml:space="preserve">Ultrasound features using MUSA terms and definitions in uterine sarcoma and leiomyoma: cohort study / C. De Bruyn, J. Ceusters, K. Vanden Brande [et al.]. DOI 10.1002/uog.27535 // Ultrasound in Obstetrics &amp; Gynecology. 2024. Vol. 63, No. 5. P. 683–690. URL: </w:t>
      </w:r>
      <w:hyperlink r:id="rId160" w:history="1">
        <w:r>
          <w:rPr>
            <w:rStyle w:val="Hyperlink"/>
          </w:rPr>
          <w:t xml:space="preserve">https://doi.org/10.1002/uog.27535</w:t>
        </w:r>
      </w:hyperlink>
      <w:r>
        <w:t xml:space="preserve"> (дата обращения: 06.10.2026).</w:t>
      </w:r>
    </w:p>
    <w:p>
      <w:pPr>
        <w:pStyle w:val="Compact"/>
        <w:numPr>
          <w:ilvl w:val="0"/>
          <w:numId w:val="6"/>
        </w:numPr>
      </w:pPr>
      <w:r>
        <w:t xml:space="preserve">Preoperative clinical characteristics between uterine sarcoma and leiomyoma in patients with uterine mass, a case-control study / P. Chantasartrassamee, C. Kongsawatvorakul, N. Rermluk [et al.]. DOI 10.1016/j.ejogrb.2022.01.013 // European Journal of Obstetrics &amp; Gynecology and Reproductive Biology. 2022. Vol. 270. P. 176–180. URL: </w:t>
      </w:r>
      <w:hyperlink r:id="rId159" w:history="1">
        <w:r>
          <w:rPr>
            <w:rStyle w:val="Hyperlink"/>
          </w:rPr>
          <w:t xml:space="preserve">https://doi.org/10.1016/j.ejogrb.2022.01.013</w:t>
        </w:r>
      </w:hyperlink>
      <w:r>
        <w:t xml:space="preserve"> (дата обращения: 06.10.2026).</w:t>
      </w:r>
    </w:p>
    <w:p>
      <w:pPr>
        <w:pStyle w:val="Compact"/>
        <w:numPr>
          <w:ilvl w:val="0"/>
          <w:numId w:val="6"/>
        </w:numPr>
      </w:pPr>
      <w:r>
        <w:t xml:space="preserve">ESGO/EURACAN/GCIG guidelines for the management of patients with uterine sarcomas / I. Ray-Coquard, P. G. Casali, S. Croce [et al.]. DOI 10.1136/ijgc-2024-005823 // International Journal of Gynecological Cancer. 2024. Vol. 34, No. 10. P. 1499–1521. URL: </w:t>
      </w:r>
      <w:hyperlink r:id="rId156" w:history="1">
        <w:r>
          <w:rPr>
            <w:rStyle w:val="Hyperlink"/>
          </w:rPr>
          <w:t xml:space="preserve">https://doi.org/10.1136/ijgc-2024-005823</w:t>
        </w:r>
      </w:hyperlink>
      <w:r>
        <w:t xml:space="preserve"> (дата обращения: 06.10.2026).</w:t>
      </w:r>
    </w:p>
    <w:p>
      <w:pPr>
        <w:pStyle w:val="Compact"/>
        <w:numPr>
          <w:ilvl w:val="0"/>
          <w:numId w:val="6"/>
        </w:numPr>
      </w:pPr>
      <w:r>
        <w:t xml:space="preserve">ESR Essentials: uterine cancers-practice recommendations by the European Society of Urogenital Radiology / R. V. Ninkova, S. Bottazzi, Y. Lakhman [et al.]. DOI 10.1007/s00330-026-12705-2 // European Radiology. 2026. URL: </w:t>
      </w:r>
      <w:hyperlink r:id="rId157" w:history="1">
        <w:r>
          <w:rPr>
            <w:rStyle w:val="Hyperlink"/>
          </w:rPr>
          <w:t xml:space="preserve">https://doi.org/10.1007/s00330-026-12705-2</w:t>
        </w:r>
      </w:hyperlink>
      <w:r>
        <w:t xml:space="preserve"> (дата обращения: 06.10.2026).</w:t>
      </w:r>
    </w:p>
    <w:p>
      <w:pPr>
        <w:pStyle w:val="Heading1"/>
        <w:keepNext/>
        <w:pageBreakBefore/>
      </w:pPr>
      <w:r>
        <w:t xml:space="preserve">Список литературы в ванкуверском стиле (ICMJE, NLM)</w:t>
      </w:r>
    </w:p>
    <w:p>
      <w:pPr>
        <w:pStyle w:val="Compact"/>
        <w:numPr>
          <w:ilvl w:val="0"/>
          <w:numId w:val="7"/>
        </w:numPr>
      </w:pPr>
      <w:r>
        <w:t xml:space="preserve">Chen I, Kives S, Randle E, Rattray D, Sanders A, Vilos G. Guideline No. 461: The Management of Uterine Fibroids. J Obstet Gynaecol Can. 2025 Aug;47(8):102970. doi:10.1016/j.jogc.2025.102970.</w:t>
      </w:r>
    </w:p>
    <w:p>
      <w:pPr>
        <w:pStyle w:val="Compact"/>
        <w:numPr>
          <w:ilvl w:val="0"/>
          <w:numId w:val="7"/>
        </w:numPr>
      </w:pPr>
      <w:r>
        <w:t xml:space="preserve">DeWaay DJ, Syrop CH, Nygaard IE, Davis WA, Van Voorhis BJ. Natural history of uterine polyps and leiomyomata. Obstet Gynecol. 2002 Jul;100(1):3-7. doi:10.1016/s0029-7844(02)02007-0.</w:t>
      </w:r>
    </w:p>
    <w:p>
      <w:pPr>
        <w:pStyle w:val="Compact"/>
        <w:numPr>
          <w:ilvl w:val="0"/>
          <w:numId w:val="7"/>
        </w:numPr>
      </w:pPr>
      <w:r>
        <w:t xml:space="preserve">Peddada SD, Laughlin SK, Miner K, Guyon JP, Haneke K, Vahdat HL, et al. Growth of uterine leiomyomata among premenopausal black and white women. Proc Natl Acad Sci U S A. 2008 Dec;105(50):19887-92. doi:10.1073/pnas.0808188105.</w:t>
      </w:r>
    </w:p>
    <w:p>
      <w:pPr>
        <w:pStyle w:val="Compact"/>
        <w:numPr>
          <w:ilvl w:val="0"/>
          <w:numId w:val="7"/>
        </w:numPr>
      </w:pPr>
      <w:r>
        <w:t xml:space="preserve">Baird DD, Patchel SA, Saldana TM, Umbach DM, Cooper T, Wegienka G, et al. Uterine fibroid incidence and growth in an ultrasound-based, prospective study of young African Americans. Am J Obstet Gynecol. 2020 Sep;223(3):402.e1-402.e18. doi:10.1016/j.ajog.2020.02.016.</w:t>
      </w:r>
    </w:p>
    <w:p>
      <w:pPr>
        <w:pStyle w:val="Compact"/>
        <w:numPr>
          <w:ilvl w:val="0"/>
          <w:numId w:val="7"/>
        </w:numPr>
      </w:pPr>
      <w:r>
        <w:t xml:space="preserve">Shen M, Duan H, Chang Y, Wang S. Growth of surgically confirmed leiomyomas in postmenopausal women: analysis of the influencing factors. Menopause. 2021 Sep;28(11):1209-13. doi:10.1097/GME.0000000000001846.</w:t>
      </w:r>
    </w:p>
    <w:p>
      <w:pPr>
        <w:pStyle w:val="Compact"/>
        <w:numPr>
          <w:ilvl w:val="0"/>
          <w:numId w:val="7"/>
        </w:numPr>
      </w:pPr>
      <w:r>
        <w:t xml:space="preserve">Uterine Fibroids: Rapid Evidence Review [Internet]. Leawood (KS): American Academy of Family Physicians; 2025 [cited 2026 Oct 6]. Available from: </w:t>
      </w:r>
      <w:hyperlink r:id="rId119" w:history="1">
        <w:r>
          <w:rPr>
            <w:rStyle w:val="Hyperlink"/>
          </w:rPr>
          <w:t xml:space="preserve">https://www.aafp.org/afp/2025/1000/uterine-fibroids</w:t>
        </w:r>
      </w:hyperlink>
    </w:p>
    <w:p>
      <w:pPr>
        <w:pStyle w:val="Compact"/>
        <w:numPr>
          <w:ilvl w:val="0"/>
          <w:numId w:val="7"/>
        </w:numPr>
      </w:pPr>
      <w:r>
        <w:t xml:space="preserve">Uterine Morcellation for Presumed Leiomyomas: ACOG Committee Opinion, Number 822. Obstet Gynecol. 2021 Mar;137(3):e63-e74. doi:10.1097/AOG.0000000000004291.</w:t>
      </w:r>
    </w:p>
    <w:p>
      <w:pPr>
        <w:pStyle w:val="Compact"/>
        <w:numPr>
          <w:ilvl w:val="0"/>
          <w:numId w:val="7"/>
        </w:numPr>
      </w:pPr>
      <w:r>
        <w:t xml:space="preserve">Pritts EA, Vanness DJ, Berek JS, Parker W, Feinberg R, Feinberg J, et al. The prevalence of occult leiomyosarcoma at surgery for presumed uterine fibroids: a meta-analysis. Gynecol Surg. 2015;12(3):165-77. doi:10.1007/s10397-015-0894-4.</w:t>
      </w:r>
    </w:p>
    <w:p>
      <w:pPr>
        <w:pStyle w:val="Compact"/>
        <w:numPr>
          <w:ilvl w:val="0"/>
          <w:numId w:val="7"/>
        </w:numPr>
      </w:pPr>
      <w:r>
        <w:t xml:space="preserve">Practice Committee of the American Society for Reproductive Medicine. Removal of myomas in asymptomatic patients to improve fertility and/or reduce miscarriage rate: a guideline. Fertil Steril. 2017 Sep;108(3):416-25. doi:10.1016/j.fertnstert.2017.06.034.</w:t>
      </w:r>
    </w:p>
    <w:p>
      <w:pPr>
        <w:pStyle w:val="Compact"/>
        <w:numPr>
          <w:ilvl w:val="0"/>
          <w:numId w:val="7"/>
        </w:numPr>
      </w:pPr>
      <w:r>
        <w:t xml:space="preserve">Carranza-Mamane B, Havelock J, Hemmings R; REPRODUCTIVE ENDOCRINOLOGY AND INFERTILITY COMMITTEE. The management of uterine fibroids in women with otherwise unexplained infertility. J Obstet Gynaecol Can. 2015 Mar;37(3):277-85. doi:10.1016/S1701-2163(15)30318-2.</w:t>
      </w:r>
    </w:p>
    <w:p>
      <w:pPr>
        <w:pStyle w:val="Compact"/>
        <w:numPr>
          <w:ilvl w:val="0"/>
          <w:numId w:val="7"/>
        </w:numPr>
      </w:pPr>
      <w:r>
        <w:t xml:space="preserve">Metwally M, Raybould G, Cheong YC, Horne AW. Surgical treatment of fibroids for subfertility. Cochrane Database Syst Rev. 2020 Jan;1(1):CD003857. doi:10.1002/14651858.CD003857.pub4.</w:t>
      </w:r>
    </w:p>
    <w:p>
      <w:pPr>
        <w:pStyle w:val="Compact"/>
        <w:numPr>
          <w:ilvl w:val="0"/>
          <w:numId w:val="7"/>
        </w:numPr>
      </w:pPr>
      <w:r>
        <w:t xml:space="preserve">Pritts TL, Ogden M, Parker W, Ratcliffe J, Pritts EA. Intramural Leiomyomas and Fertility: A Systematic Review and Meta-Analysis. Obstet Gynecol. 2024 Aug;144(2):171-9. doi:10.1097/AOG.0000000000005661.</w:t>
      </w:r>
    </w:p>
    <w:p>
      <w:pPr>
        <w:pStyle w:val="Compact"/>
        <w:numPr>
          <w:ilvl w:val="0"/>
          <w:numId w:val="7"/>
        </w:numPr>
      </w:pPr>
      <w:r>
        <w:t xml:space="preserve">Verma S, Shanbhag A, Salim S, Potdar N. Myomectomy for intramural fibroids prior to in vitro fertilization/intracytoplasmic sperm injection cycles, a conundrum: Systematic review and meta-analysis. Int J Gynaecol Obstet. 2026 Jun;173(3):1256-64. doi:10.1002/ijgo.70748.</w:t>
      </w:r>
    </w:p>
    <w:p>
      <w:pPr>
        <w:pStyle w:val="Compact"/>
        <w:numPr>
          <w:ilvl w:val="0"/>
          <w:numId w:val="7"/>
        </w:numPr>
      </w:pPr>
      <w:r>
        <w:t xml:space="preserve">Erden M, Uyanik E, Polat M, Ozbek IY, Yarali H, Mumusoglu S. The effect of ≤6 cm sized noncavity-distorting intramural fibroids on in vitro fertilization outcomes: a systematic review and meta-analysis. Fertil Steril. 2023 Jun;119(6):996-1007. doi:10.1016/j.fertnstert.2023.02.018.</w:t>
      </w:r>
    </w:p>
    <w:p>
      <w:pPr>
        <w:pStyle w:val="Compact"/>
        <w:numPr>
          <w:ilvl w:val="0"/>
          <w:numId w:val="7"/>
        </w:numPr>
      </w:pPr>
      <w:r>
        <w:t xml:space="preserve">Somigliana E, Reschini M, Bonanni V, Busnelli A, Li Piani L, Vercellini P. Fibroids and natural fertility: a systematic review and meta-analysis. Reprod Biomed Online. 2021 Jul;43(1):100-10. doi:10.1016/j.rbmo.2021.03.013.</w:t>
      </w:r>
    </w:p>
    <w:p>
      <w:pPr>
        <w:pStyle w:val="Compact"/>
        <w:numPr>
          <w:ilvl w:val="0"/>
          <w:numId w:val="7"/>
        </w:numPr>
      </w:pPr>
      <w:r>
        <w:t xml:space="preserve">Lazaridis A, Grammatis AL, Hirsch M, Triantafyllidou O, Odejinmi F, Vlahos NF. Intrauterine adhesions following fibroid surgery: incidence and prevention strategies. A systematic review. Minerva Obstet Gynecol. 2025 Dec;77(6):527-36. doi:10.23736/S2724-606X.25.05733-1.</w:t>
      </w:r>
    </w:p>
    <w:p>
      <w:pPr>
        <w:pStyle w:val="Compact"/>
        <w:numPr>
          <w:ilvl w:val="0"/>
          <w:numId w:val="7"/>
        </w:numPr>
      </w:pPr>
      <w:r>
        <w:t xml:space="preserve">Boegl M, Ott J, Seidl E, Goldstein T, Parry JP, Hager M. Removal of FIGO V and VI fibroids with a combined size greater than 5 cm quadruples spontaneous fecundity relative to myomectomy for those with smaller fibroids. Arch Gynecol Obstet. 2025 Aug;312(2):635-40. doi:10.1007/s00404-025-08063-x.</w:t>
      </w:r>
    </w:p>
    <w:p>
      <w:pPr>
        <w:pStyle w:val="Compact"/>
        <w:numPr>
          <w:ilvl w:val="0"/>
          <w:numId w:val="7"/>
        </w:numPr>
      </w:pPr>
      <w:r>
        <w:t xml:space="preserve">Rossiiskoe obshchestvo akusherov-ginekologov. Mioma matki. Klinicheskie rekomendatsii [Uterine fibroids. Clinical guidelines] [Internet]. Moscow: Ministry of Health of the Russian Federation; 2024 [cited 2026 Oct 6]. Available from: </w:t>
      </w:r>
      <w:hyperlink r:id="rId102" w:history="1">
        <w:r>
          <w:rPr>
            <w:rStyle w:val="Hyperlink"/>
          </w:rPr>
          <w:t xml:space="preserve">https://cr.minzdrav.gov.ru/view-cr/257_2</w:t>
        </w:r>
      </w:hyperlink>
      <w:r>
        <w:t xml:space="preserve"> Russian.</w:t>
      </w:r>
    </w:p>
    <w:p>
      <w:pPr>
        <w:pStyle w:val="Compact"/>
        <w:numPr>
          <w:ilvl w:val="0"/>
          <w:numId w:val="7"/>
        </w:numPr>
      </w:pPr>
      <w:r>
        <w:t xml:space="preserve">Hindman N, Kang S, Fournier L, Lakhman Y, Nougaret S, Reinhold C, et al. MRI Evaluation of Uterine Masses for Risk of Leiomyosarcoma: A Consensus Statement. Radiology. 2023 Feb;306(2):e211658. doi:10.1148/radiol.211658.</w:t>
      </w:r>
    </w:p>
    <w:p>
      <w:pPr>
        <w:pStyle w:val="Compact"/>
        <w:numPr>
          <w:ilvl w:val="0"/>
          <w:numId w:val="7"/>
        </w:numPr>
      </w:pPr>
      <w:r>
        <w:t xml:space="preserve">Saida T, Ueda T, Kurihara M, Kumazawa M, Shitano F, Fujii S. MRI for diagnosing uterine sarcoma: a systematic review and meta-analysis. Jpn J Radiol. 2026 Jun;44(6):976-86. doi:10.1007/s11604-026-01952-4.</w:t>
      </w:r>
    </w:p>
    <w:p>
      <w:pPr>
        <w:pStyle w:val="Compact"/>
        <w:numPr>
          <w:ilvl w:val="0"/>
          <w:numId w:val="7"/>
        </w:numPr>
      </w:pPr>
      <w:r>
        <w:t xml:space="preserve">Woo S, Beier SR, Tong A, Hindman NM, Vargas HA, Kang SK. Utility of ADC Values for Differentiating Uterine Sarcomas From Leiomyomas: Systematic Review and Meta-Analysis. AJR Am J Roentgenol. 2024 Sep;223(3):e2431280. doi:10.2214/AJR.24.31280.</w:t>
      </w:r>
    </w:p>
    <w:p>
      <w:pPr>
        <w:pStyle w:val="Compact"/>
        <w:numPr>
          <w:ilvl w:val="0"/>
          <w:numId w:val="7"/>
        </w:numPr>
      </w:pPr>
      <w:r>
        <w:t xml:space="preserve">Abdel Wahab C, Jannot AS, Bonaffini PA, Bourillon C, Cornou C, Lefrère-Belda MA, et al. Diagnostic Algorithm to Differentiate Benign Atypical Leiomyomas from Malignant Uterine Sarcomas with Diffusion-weighted MRI. Radiology. 2020 Nov;297(2):361-71. doi:10.1148/radiol.2020191658.</w:t>
      </w:r>
    </w:p>
    <w:p>
      <w:pPr>
        <w:pStyle w:val="Compact"/>
        <w:numPr>
          <w:ilvl w:val="0"/>
          <w:numId w:val="7"/>
        </w:numPr>
      </w:pPr>
      <w:r>
        <w:t xml:space="preserve">Horowitz JM, Lopes Vendrami C, Velichko YS, Green-Walker AI, Kelahan LC, Jawahar A, et al. Uterine Sarcoma or Degenerating Fibroid? Validating the New Consensus Magnetic Resonance Imaging Algorithm for Evaluating Atypical Uterine Masses. J Comput Assist Tomogr. 2025;49(1):57-63. doi:10.1097/RCT.0000000000001656.</w:t>
      </w:r>
    </w:p>
    <w:p>
      <w:pPr>
        <w:pStyle w:val="Compact"/>
        <w:numPr>
          <w:ilvl w:val="0"/>
          <w:numId w:val="7"/>
        </w:numPr>
      </w:pPr>
      <w:r>
        <w:t xml:space="preserve">De Bruyn C, Ceusters J, Vanden Brande K, Timmerman S, Froyman W, Timmerman D, et al. Ultrasound features using MUSA terms and definitions in uterine sarcoma and leiomyoma: cohort study. Ultrasound Obstet Gynecol. 2024 May;63(5):683-90. doi:10.1002/uog.27535.</w:t>
      </w:r>
    </w:p>
    <w:p>
      <w:pPr>
        <w:pStyle w:val="Compact"/>
        <w:numPr>
          <w:ilvl w:val="0"/>
          <w:numId w:val="7"/>
        </w:numPr>
      </w:pPr>
      <w:r>
        <w:t xml:space="preserve">Chantasartrassamee P, Kongsawatvorakul C, Rermluk N, Charakorn C, Wattanayingcharoenchai R, Lertkhachonsuk AA. Preoperative clinical characteristics between uterine sarcoma and leiomyoma in patients with uterine mass, a case-control study. Eur J Obstet Gynecol Reprod Biol. 2022 Mar;270:176-80. doi:10.1016/j.ejogrb.2022.01.013.</w:t>
      </w:r>
    </w:p>
    <w:p>
      <w:pPr>
        <w:pStyle w:val="Compact"/>
        <w:numPr>
          <w:ilvl w:val="0"/>
          <w:numId w:val="7"/>
        </w:numPr>
      </w:pPr>
      <w:r>
        <w:t xml:space="preserve">Ray-Coquard I, Casali PG, Croce S, Fennessy FM, Fischerova D, Jones R, et al. ESGO/EURACAN/GCIG guidelines for the management of patients with uterine sarcomas. Int J Gynecol Cancer. 2024 Oct;34(10):1499-521. doi:10.1136/ijgc-2024-005823.</w:t>
      </w:r>
    </w:p>
    <w:p>
      <w:pPr>
        <w:pStyle w:val="Compact"/>
        <w:numPr>
          <w:ilvl w:val="0"/>
          <w:numId w:val="7"/>
        </w:numPr>
      </w:pPr>
      <w:r>
        <w:t xml:space="preserve">Ninkova RV, Bottazzi S, Lakhman Y, Gui B, Rizzo S, Naggara IT, et al. ESR Essentials: uterine cancers-practice recommendations by the European Society of Urogenital Radiology. Eur Radiol. 2026 Jul 1. doi:10.1007/s00330-026-12705-2. Epub ahead of print.</w:t>
      </w:r>
    </w:p>
    <w:sectPr>
      <w:headerReference w:type="default" r:id="rIdH1"/>
      <w:footerReference w:type="default" r:id="rIdF0"/>
      <w:pgSz w:w="11906" w:h="16838"/>
      <w:pgMar w:top="1247" w:right="1247" w:bottom="1134" w:left="1247" w:header="567" w:footer="567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Golos Text">
    <w:charset w:val="CC"/>
    <w:family w:val="swiss"/>
    <w:pitch w:val="variable"/>
    <w:embedRegular r:id="rIdF1" w:fontKey="{34D99AA3-ED6D-F03E-E12D-DE7EEE6F8EDB}"/>
    <w:embedBold r:id="rIdF2" w:fontKey="{9CFD3D79-D607-7247-5FD7-3729DDCAAF83}"/>
  </w:font>
  <w:font w:name="Arial">
    <w:charset w:val="00"/>
    <w:family w:val="swiss"/>
    <w:pitch w:val="variable"/>
  </w:font>
  <w:font w:name="Cambria Math">
    <w:charset w:val="00"/>
    <w:family w:val="roman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Golos Text" w:hAnsi="Golos Text" w:cs="Golos Text" w:eastAsia="Golos Text"/>
        <w:color w:val="6A635E"/>
        <w:sz w:val="17"/>
      </w:rPr>
      <w:fldChar w:fldCharType="begin"/>
    </w:r>
    <w:r>
      <w:rPr>
        <w:rFonts w:ascii="Golos Text" w:hAnsi="Golos Text" w:cs="Golos Text" w:eastAsia="Golos Text"/>
        <w:color w:val="6A635E"/>
        <w:sz w:val="17"/>
      </w:rPr>
      <w:instrText xml:space="preserve"> PAGE </w:instrText>
    </w:r>
    <w:r>
      <w:rPr>
        <w:rFonts w:ascii="Golos Text" w:hAnsi="Golos Text" w:cs="Golos Text" w:eastAsia="Golos Text"/>
        <w:color w:val="6A635E"/>
        <w:sz w:val="17"/>
      </w:rPr>
      <w:fldChar w:fldCharType="separate"/>
    </w:r>
    <w:r>
      <w:rPr>
        <w:rFonts w:ascii="Golos Text" w:hAnsi="Golos Text" w:cs="Golos Text" w:eastAsia="Golos Text"/>
        <w:color w:val="6A635E"/>
        <w:sz w:val="17"/>
      </w:rPr>
      <w:t>1</w:t>
    </w:r>
    <w:r>
      <w:rPr>
        <w:rFonts w:ascii="Golos Text" w:hAnsi="Golos Text" w:cs="Golos Text" w:eastAsia="Golos Text"/>
        <w:color w:val="6A635E"/>
        <w:sz w:val="17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4" w:space="4" w:color="E0DBD4"/>
      </w:pBdr>
    </w:pPr>
    <w:r>
      <w:rPr>
        <w:rFonts w:ascii="Golos Text" w:hAnsi="Golos Text" w:cs="Golos Text" w:eastAsia="Golos Text"/>
      </w:rPr>
    </w:r>
    <w:r>
      <w:rPr>
        <w:rFonts w:ascii="Golos Text" w:hAnsi="Golos Text" w:cs="Golos Text" w:eastAsia="Golos Text"/>
        <w:b/>
        <w:color w:val="D84A42"/>
        <w:sz w:val="17"/>
      </w:rPr>
      <w:t>Подтема</w:t>
    </w:r>
    <w:r>
      <w:rPr>
        <w:rFonts w:ascii="Golos Text" w:hAnsi="Golos Text" w:cs="Golos Text" w:eastAsia="Golos Text"/>
        <w:color w:val="6A635E"/>
        <w:sz w:val="17"/>
      </w:rPr>
      <w:t xml:space="preserve"> · Литобзор на заказ</w:t>
    </w:r>
  </w:p>
</w:hdr>
</file>

<file path=word/numbering.xml><?xml version="1.0" encoding="utf-8"?>
<w:numbering xmlns:w="http://schemas.openxmlformats.org/wordprocessingml/2006/main">
  <w:abstractNum w:abstractNumId="1">
    <w:multiLevelType w:val="multilevel"/>
    <w:lvl w:ilvl="0">
      <w:numFmt w:val="bullet"/>
      <w:lvlText w:val="•"/>
      <w:lvlJc w:val="left"/>
      <w:pPr>
        <w:ind w:left="420" w:hanging="360"/>
      </w:pPr>
    </w:lvl>
    <w:lvl w:ilvl="1">
      <w:numFmt w:val="bullet"/>
      <w:lvlText w:val="–"/>
      <w:lvlJc w:val="left"/>
      <w:pPr>
        <w:ind w:left="780" w:hanging="360"/>
      </w:pPr>
    </w:lvl>
    <w:lvl w:ilvl="2">
      <w:numFmt w:val="bullet"/>
      <w:lvlText w:val="•"/>
      <w:lvlJc w:val="left"/>
      <w:pPr>
        <w:ind w:left="1140" w:hanging="360"/>
      </w:pPr>
    </w:lvl>
    <w:lvl w:ilvl="3">
      <w:numFmt w:val="bullet"/>
      <w:lvlText w:val="–"/>
      <w:lvlJc w:val="left"/>
      <w:pPr>
        <w:ind w:left="1500" w:hanging="360"/>
      </w:pPr>
    </w:lvl>
    <w:lvl w:ilvl="4">
      <w:numFmt w:val="bullet"/>
      <w:lvlText w:val="•"/>
      <w:lvlJc w:val="left"/>
      <w:pPr>
        <w:ind w:left="1860" w:hanging="360"/>
      </w:pPr>
    </w:lvl>
    <w:lvl w:ilvl="5">
      <w:numFmt w:val="bullet"/>
      <w:lvlText w:val="–"/>
      <w:lvlJc w:val="left"/>
      <w:pPr>
        <w:ind w:left="2220" w:hanging="360"/>
      </w:pPr>
    </w:lvl>
    <w:lvl w:ilvl="6">
      <w:numFmt w:val="bullet"/>
      <w:lvlText w:val="•"/>
      <w:lvlJc w:val="left"/>
      <w:pPr>
        <w:ind w:left="2580" w:hanging="360"/>
      </w:pPr>
    </w:lvl>
    <w:lvl w:ilvl="7">
      <w:numFmt w:val="bullet"/>
      <w:lvlText w:val="–"/>
      <w:lvlJc w:val="left"/>
      <w:pPr>
        <w:ind w:left="2940" w:hanging="360"/>
      </w:pPr>
    </w:lvl>
    <w:lvl w:ilvl="8">
      <w:numFmt w:val="bullet"/>
      <w:lvlText w:val="•"/>
      <w:lvlJc w:val="left"/>
      <w:pPr>
        <w:ind w:left="3300" w:hanging="360"/>
      </w:pPr>
    </w:lvl>
  </w:abstractNum>
  <w:abstractNum w:abstractNumId="2">
    <w:multiLevelType w:val="multilevel"/>
    <w:lvl w:ilvl="0">
      <w:start w:val="1"/>
      <w:numFmt w:val="decimal"/>
      <w:lvlText w:val="%1."/>
      <w:lvlJc w:val="left"/>
      <w:pPr>
        <w:ind w:left="540" w:hanging="480"/>
      </w:pPr>
    </w:lvl>
    <w:lvl w:ilvl="1">
      <w:start w:val="1"/>
      <w:numFmt w:val="decimal"/>
      <w:lvlText w:val="%2."/>
      <w:lvlJc w:val="left"/>
      <w:pPr>
        <w:ind w:left="900" w:hanging="480"/>
      </w:pPr>
    </w:lvl>
    <w:lvl w:ilvl="2">
      <w:start w:val="1"/>
      <w:numFmt w:val="decimal"/>
      <w:lvlText w:val="%3."/>
      <w:lvlJc w:val="left"/>
      <w:pPr>
        <w:ind w:left="1260" w:hanging="480"/>
      </w:pPr>
    </w:lvl>
    <w:lvl w:ilvl="3">
      <w:start w:val="1"/>
      <w:numFmt w:val="decimal"/>
      <w:lvlText w:val="%4."/>
      <w:lvlJc w:val="left"/>
      <w:pPr>
        <w:ind w:left="1620" w:hanging="480"/>
      </w:pPr>
    </w:lvl>
    <w:lvl w:ilvl="4">
      <w:start w:val="1"/>
      <w:numFmt w:val="decimal"/>
      <w:lvlText w:val="%5."/>
      <w:lvlJc w:val="left"/>
      <w:pPr>
        <w:ind w:left="1980" w:hanging="480"/>
      </w:pPr>
    </w:lvl>
    <w:lvl w:ilvl="5">
      <w:start w:val="1"/>
      <w:numFmt w:val="decimal"/>
      <w:lvlText w:val="%6."/>
      <w:lvlJc w:val="left"/>
      <w:pPr>
        <w:ind w:left="2340" w:hanging="480"/>
      </w:pPr>
    </w:lvl>
    <w:lvl w:ilvl="6">
      <w:start w:val="1"/>
      <w:numFmt w:val="decimal"/>
      <w:lvlText w:val="%7."/>
      <w:lvlJc w:val="left"/>
      <w:pPr>
        <w:ind w:left="2700" w:hanging="480"/>
      </w:pPr>
    </w:lvl>
    <w:lvl w:ilvl="7">
      <w:start w:val="1"/>
      <w:numFmt w:val="decimal"/>
      <w:lvlText w:val="%8."/>
      <w:lvlJc w:val="left"/>
      <w:pPr>
        <w:ind w:left="3060" w:hanging="480"/>
      </w:pPr>
    </w:lvl>
    <w:lvl w:ilvl="8">
      <w:start w:val="1"/>
      <w:numFmt w:val="decimal"/>
      <w:lvlText w:val="%9."/>
      <w:lvlJc w:val="left"/>
      <w:pPr>
        <w:ind w:left="3420" w:hanging="48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olos Text" w:cs="Golos Text" w:eastAsia="Golos Text" w:hAnsi="Golos Text"/>
        <w:sz w:val="24"/>
        <w:szCs w:val="24"/>
        <w:lang w:bidi="ar-SA" w:eastAsia="zh-CN" w:val="ru-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Golos Text" w:cs="Golos Text" w:eastAsia="Golos Text" w:hAnsi="Golos Text"/>
      <w:color w:val="1E1814"/>
      <w:sz w:val="21"/>
    </w:rPr>
  </w:style>
  <w:style w:styleId="BodyText" w:type="paragraph">
    <w:name w:val="Body Text"/>
    <w:basedOn w:val="Normal"/>
    <w:link w:val="BodyTextChar"/>
    <w:qFormat/>
    <w:pPr>
      <w:spacing w:after="120" w:before="0" w:line="288" w:lineRule="auto"/>
    </w:pPr>
    <w:rPr>
      <w:rFonts w:ascii="Golos Text" w:cs="Golos Text" w:eastAsia="Golos Text" w:hAnsi="Golos Text"/>
      <w:color w:val="1E1814"/>
      <w:sz w:val="21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88" w:lineRule="auto"/>
    </w:pPr>
    <w:rPr>
      <w:rFonts w:ascii="Golos Text" w:cs="Golos Text" w:eastAsia="Golos Text" w:hAnsi="Golos Text"/>
      <w:color w:val="1E1814"/>
      <w:sz w:val="21"/>
    </w:rPr>
  </w:style>
  <w:style w:customStyle="1" w:styleId="Compact" w:type="paragraph">
    <w:name w:val="Compact"/>
    <w:basedOn w:val="BodyText"/>
    <w:qFormat/>
    <w:pPr>
      <w:spacing w:after="60" w:before="0" w:line="276" w:lineRule="auto"/>
    </w:pPr>
    <w:rPr>
      <w:rFonts w:ascii="Golos Text" w:cs="Golos Text" w:eastAsia="Golos Text" w:hAnsi="Golos Text"/>
      <w:color w:val="1E1814"/>
      <w:sz w:val="19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pBdr>
        <w:bottom w:color="D84A42" w:space="8" w:sz="12" w:val="single"/>
      </w:pBdr>
      <w:spacing w:after="280" w:before="0" w:line="264" w:lineRule="auto"/>
      <w:contextualSpacing/>
      <w:jc w:val="left"/>
    </w:pPr>
    <w:rPr>
      <w:rFonts w:ascii="Golos Text" w:cs="Golos Text" w:eastAsia="Golos Text" w:hAnsi="Golos Text"/>
      <w:b/>
      <w:color w:val="1E1814"/>
      <w:sz w:val="40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  <w:spacing w:after="240" w:before="0"/>
    </w:pPr>
    <w:rPr>
      <w:rFonts w:ascii="Golos Text" w:cs="Golos Text" w:eastAsia="Golos Text" w:hAnsi="Golos Text"/>
      <w:b w:val="0"/>
      <w:color w:val="6A635E"/>
      <w:spacing w:val="15"/>
      <w:sz w:val="22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  <w:spacing w:after="240"/>
    </w:pPr>
    <w:rPr>
      <w:rFonts w:ascii="Golos Text" w:cs="Golos Text" w:eastAsia="Golos Text" w:hAnsi="Golos Text"/>
      <w:b w:val="0"/>
      <w:color w:val="6A635E"/>
      <w:sz w:val="20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pBdr>
        <w:bottom w:color="D84A42" w:space="3" w:sz="6" w:val="single"/>
      </w:pBdr>
      <w:spacing w:after="160" w:before="360"/>
      <w:outlineLvl w:val="0"/>
    </w:pPr>
    <w:rPr>
      <w:rFonts w:ascii="Golos Text" w:cs="Golos Text" w:eastAsia="Golos Text" w:hAnsi="Golos Text"/>
      <w:b/>
      <w:i w:val="0"/>
      <w:color w:val="1E1814"/>
      <w:sz w:val="28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280" w:line="276" w:lineRule="auto"/>
      <w:outlineLvl w:val="1"/>
    </w:pPr>
    <w:rPr>
      <w:rFonts w:ascii="Golos Text" w:cs="Golos Text" w:eastAsia="Golos Text" w:hAnsi="Golos Text"/>
      <w:b/>
      <w:i w:val="0"/>
      <w:color w:val="1E1814"/>
      <w:sz w:val="23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200"/>
      <w:outlineLvl w:val="2"/>
    </w:pPr>
    <w:rPr>
      <w:rFonts w:ascii="Golos Text" w:cs="Golos Text" w:eastAsia="Golos Text" w:hAnsi="Golos Text"/>
      <w:b/>
      <w:i w:val="0"/>
      <w:color w:val="554E49"/>
      <w:sz w:val="21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Golos Text" w:cs="Golos Text" w:eastAsia="Golos Text" w:hAnsi="Golos Text"/>
      <w:color w:val="554E49"/>
      <w:sz w:val="21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E0DBD4" w:sz="4" w:val="single"/>
        <w:bottom w:color="E0DBD4" w:sz="4" w:val="single"/>
        <w:insideH w:color="E0DBD4" w:sz="4" w:val="single"/>
      </w:tblBorders>
      <w:tblCellMar>
        <w:top w:type="dxa" w:w="50"/>
        <w:left w:type="dxa" w:w="70"/>
        <w:bottom w:type="dxa" w:w="50"/>
        <w:right w:type="dxa" w:w="70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rFonts w:ascii="Golos Text" w:cs="Golos Text" w:eastAsia="Golos Text" w:hAnsi="Golos Text"/>
      <w:color w:val="554E49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Actions" w:type="paragraph">
    <w:name w:val="Actions"/>
    <w:basedOn w:val="BodyText"/>
    <w:pPr>
      <w:spacing w:after="240" w:before="40"/>
    </w:pPr>
    <w:rPr>
      <w:rFonts w:ascii="Golos Text" w:cs="Golos Text" w:eastAsia="Golos Text" w:hAnsi="Golos Text"/>
      <w:color w:val="554E49"/>
      <w:sz w:val="18"/>
    </w:rPr>
  </w:style>
  <w:style w:customStyle="1" w:styleId="Keep" w:type="paragraph">
    <w:name w:val="Keep"/>
    <w:basedOn w:val="BodyText"/>
    <w:pPr>
      <w:keepNext/>
      <w:spacing w:after="120" w:before="0" w:line="288" w:lineRule="auto"/>
    </w:pPr>
    <w:rPr>
      <w:rFonts w:ascii="Golos Text" w:cs="Golos Text" w:eastAsia="Golos Text" w:hAnsi="Golos Text"/>
      <w:color w:val="1E1814"/>
      <w:sz w:val="2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_rels/document.xml.rels><?xml version="1.0" encoding="UTF-8" standalone="yes"?><Relationships xmlns="http://schemas.openxmlformats.org/package/2006/relationships"><Relationship Id="rIdS1" Type="http://schemas.openxmlformats.org/officeDocument/2006/relationships/styles" Target="styles.xml"/><Relationship Id="rIdS2" Type="http://schemas.openxmlformats.org/officeDocument/2006/relationships/numbering" Target="numbering.xml"/><Relationship Id="rIdS3" Type="http://schemas.openxmlformats.org/officeDocument/2006/relationships/settings" Target="settings.xml"/><Relationship Id="rIdS4" Type="http://schemas.openxmlformats.org/officeDocument/2006/relationships/fontTable" Target="fontTable.xml"/><Relationship Id="rIdS5" Type="http://schemas.openxmlformats.org/officeDocument/2006/relationships/theme" Target="theme/theme1.xml"/><Relationship Id="rIdH1" Type="http://schemas.openxmlformats.org/officeDocument/2006/relationships/header" Target="header1.xml"/><Relationship Id="rIdF0" Type="http://schemas.openxmlformats.org/officeDocument/2006/relationships/footer" Target="footer1.xml"/><Relationship Id="rId101" Type="http://schemas.openxmlformats.org/officeDocument/2006/relationships/hyperlink" Target="https://doi.org/10.1016/j.jogc.2025.102970" TargetMode="External"/><Relationship Id="rId102" Type="http://schemas.openxmlformats.org/officeDocument/2006/relationships/hyperlink" Target="https://cr.minzdrav.gov.ru/view-cr/257_2" TargetMode="External"/><Relationship Id="rId103" Type="http://schemas.openxmlformats.org/officeDocument/2006/relationships/hyperlink" Target="https://doi.org/10.1016/j.fertnstert.2017.06.034" TargetMode="External"/><Relationship Id="rId104" Type="http://schemas.openxmlformats.org/officeDocument/2006/relationships/hyperlink" Target="https://doi.org/10.1002/14651858.CD003857.pub4" TargetMode="External"/><Relationship Id="rId105" Type="http://schemas.openxmlformats.org/officeDocument/2006/relationships/hyperlink" Target="https://doi.org/10.1097/AOG.0000000000005661" TargetMode="External"/><Relationship Id="rId106" Type="http://schemas.openxmlformats.org/officeDocument/2006/relationships/hyperlink" Target="https://doi.org/10.1002/ijgo.70748" TargetMode="External"/><Relationship Id="rId107" Type="http://schemas.openxmlformats.org/officeDocument/2006/relationships/hyperlink" Target="https://doi.org/10.1073/pnas.0808188105" TargetMode="External"/><Relationship Id="rId108" Type="http://schemas.openxmlformats.org/officeDocument/2006/relationships/hyperlink" Target="https://doi.org/10.1016/j.ajog.2020.02.016" TargetMode="External"/><Relationship Id="rId109" Type="http://schemas.openxmlformats.org/officeDocument/2006/relationships/hyperlink" Target="https://doi.org/10.1016/s0029-7844(02)02007-0" TargetMode="External"/><Relationship Id="rId110" Type="http://schemas.openxmlformats.org/officeDocument/2006/relationships/hyperlink" Target="https://doi.org/10.1016/j.fertnstert.2023.02.018" TargetMode="External"/><Relationship Id="rId111" Type="http://schemas.openxmlformats.org/officeDocument/2006/relationships/hyperlink" Target="https://doi.org/10.1007/s11604-026-01952-4" TargetMode="External"/><Relationship Id="rId112" Type="http://schemas.openxmlformats.org/officeDocument/2006/relationships/hyperlink" Target="https://doi.org/10.1007/s10397-015-0894-4" TargetMode="External"/><Relationship Id="rId113" Type="http://schemas.openxmlformats.org/officeDocument/2006/relationships/hyperlink" Target="https://doi.org/10.1097/AOG.0000000000004291" TargetMode="External"/><Relationship Id="rId114" Type="http://schemas.openxmlformats.org/officeDocument/2006/relationships/hyperlink" Target="https://doi.org/10.23736/S2724-606X.25.05733-1" TargetMode="External"/><Relationship Id="rId115" Type="http://schemas.openxmlformats.org/officeDocument/2006/relationships/hyperlink" Target="https://pubmed.ncbi.nlm.nih.gov/18375184/" TargetMode="External"/><Relationship Id="rId116" Type="http://schemas.openxmlformats.org/officeDocument/2006/relationships/hyperlink" Target="https://pubmed.ncbi.nlm.nih.gov/20069541/" TargetMode="External"/><Relationship Id="rId117" Type="http://schemas.openxmlformats.org/officeDocument/2006/relationships/hyperlink" Target="https://pubmed.ncbi.nlm.nih.gov/31077869/" TargetMode="External"/><Relationship Id="rId118" Type="http://schemas.openxmlformats.org/officeDocument/2006/relationships/hyperlink" Target="https://pubmed.ncbi.nlm.nih.gov/25765878/" TargetMode="External"/><Relationship Id="rId119" Type="http://schemas.openxmlformats.org/officeDocument/2006/relationships/hyperlink" Target="https://www.aafp.org/afp/2025/1000/uterine-fibroids" TargetMode="External"/><Relationship Id="rId120" Type="http://schemas.openxmlformats.org/officeDocument/2006/relationships/hyperlink" Target="https://doi.org/10.1097/GME.0000000000001846" TargetMode="External"/><Relationship Id="rId121" Type="http://schemas.openxmlformats.org/officeDocument/2006/relationships/hyperlink" Target="https://pubmed.ncbi.nlm.nih.gov/40562356/" TargetMode="External"/><Relationship Id="rId122" Type="http://schemas.openxmlformats.org/officeDocument/2006/relationships/hyperlink" Target="https://pubmed.ncbi.nlm.nih.gov/12100797/" TargetMode="External"/><Relationship Id="rId123" Type="http://schemas.openxmlformats.org/officeDocument/2006/relationships/hyperlink" Target="https://pubmed.ncbi.nlm.nih.gov/19047643/" TargetMode="External"/><Relationship Id="rId124" Type="http://schemas.openxmlformats.org/officeDocument/2006/relationships/hyperlink" Target="https://pubmed.ncbi.nlm.nih.gov/32105679/" TargetMode="External"/><Relationship Id="rId125" Type="http://schemas.openxmlformats.org/officeDocument/2006/relationships/hyperlink" Target="https://pubmed.ncbi.nlm.nih.gov/34469931/" TargetMode="External"/><Relationship Id="rId126" Type="http://schemas.openxmlformats.org/officeDocument/2006/relationships/hyperlink" Target="https://pubwiki.ru/40562356" TargetMode="External"/><Relationship Id="rId127" Type="http://schemas.openxmlformats.org/officeDocument/2006/relationships/hyperlink" Target="https://pubwiki.ru/12100797" TargetMode="External"/><Relationship Id="rId128" Type="http://schemas.openxmlformats.org/officeDocument/2006/relationships/hyperlink" Target="https://pubwiki.ru/19047643" TargetMode="External"/><Relationship Id="rId129" Type="http://schemas.openxmlformats.org/officeDocument/2006/relationships/hyperlink" Target="https://pubwiki.ru/32105679" TargetMode="External"/><Relationship Id="rId130" Type="http://schemas.openxmlformats.org/officeDocument/2006/relationships/hyperlink" Target="https://pubwiki.ru/34469931" TargetMode="External"/><Relationship Id="rId131" Type="http://schemas.openxmlformats.org/officeDocument/2006/relationships/hyperlink" Target="https://pubmed.ncbi.nlm.nih.gov/33595252/" TargetMode="External"/><Relationship Id="rId132" Type="http://schemas.openxmlformats.org/officeDocument/2006/relationships/hyperlink" Target="https://pubmed.ncbi.nlm.nih.gov/26283890/" TargetMode="External"/><Relationship Id="rId133" Type="http://schemas.openxmlformats.org/officeDocument/2006/relationships/hyperlink" Target="https://pubwiki.ru/33595252" TargetMode="External"/><Relationship Id="rId134" Type="http://schemas.openxmlformats.org/officeDocument/2006/relationships/hyperlink" Target="https://pubwiki.ru/26283890" TargetMode="External"/><Relationship Id="rId135" Type="http://schemas.openxmlformats.org/officeDocument/2006/relationships/hyperlink" Target="https://doi.org/10.1016/j.rbmo.2021.03.013" TargetMode="External"/><Relationship Id="rId136" Type="http://schemas.openxmlformats.org/officeDocument/2006/relationships/hyperlink" Target="https://doi.org/10.1007/s00404-025-08063-x" TargetMode="External"/><Relationship Id="rId137" Type="http://schemas.openxmlformats.org/officeDocument/2006/relationships/hyperlink" Target="https://doi.org/10.1016/S1701-2163(15)30318-2" TargetMode="External"/><Relationship Id="rId138" Type="http://schemas.openxmlformats.org/officeDocument/2006/relationships/hyperlink" Target="https://pubmed.ncbi.nlm.nih.gov/28865538/" TargetMode="External"/><Relationship Id="rId139" Type="http://schemas.openxmlformats.org/officeDocument/2006/relationships/hyperlink" Target="https://pubmed.ncbi.nlm.nih.gov/26001875/" TargetMode="External"/><Relationship Id="rId140" Type="http://schemas.openxmlformats.org/officeDocument/2006/relationships/hyperlink" Target="https://pubmed.ncbi.nlm.nih.gov/31995657/" TargetMode="External"/><Relationship Id="rId141" Type="http://schemas.openxmlformats.org/officeDocument/2006/relationships/hyperlink" Target="https://pubmed.ncbi.nlm.nih.gov/38935974/" TargetMode="External"/><Relationship Id="rId142" Type="http://schemas.openxmlformats.org/officeDocument/2006/relationships/hyperlink" Target="https://pubmed.ncbi.nlm.nih.gov/41408877/" TargetMode="External"/><Relationship Id="rId143" Type="http://schemas.openxmlformats.org/officeDocument/2006/relationships/hyperlink" Target="https://pubmed.ncbi.nlm.nih.gov/36813123/" TargetMode="External"/><Relationship Id="rId144" Type="http://schemas.openxmlformats.org/officeDocument/2006/relationships/hyperlink" Target="https://pubmed.ncbi.nlm.nih.gov/33903032/" TargetMode="External"/><Relationship Id="rId145" Type="http://schemas.openxmlformats.org/officeDocument/2006/relationships/hyperlink" Target="https://pubmed.ncbi.nlm.nih.gov/40938091/" TargetMode="External"/><Relationship Id="rId146" Type="http://schemas.openxmlformats.org/officeDocument/2006/relationships/hyperlink" Target="https://pubmed.ncbi.nlm.nih.gov/40407881/" TargetMode="External"/><Relationship Id="rId147" Type="http://schemas.openxmlformats.org/officeDocument/2006/relationships/hyperlink" Target="https://pubwiki.ru/28865538" TargetMode="External"/><Relationship Id="rId148" Type="http://schemas.openxmlformats.org/officeDocument/2006/relationships/hyperlink" Target="https://pubwiki.ru/26001875" TargetMode="External"/><Relationship Id="rId149" Type="http://schemas.openxmlformats.org/officeDocument/2006/relationships/hyperlink" Target="https://pubwiki.ru/31995657" TargetMode="External"/><Relationship Id="rId150" Type="http://schemas.openxmlformats.org/officeDocument/2006/relationships/hyperlink" Target="https://pubwiki.ru/38935974" TargetMode="External"/><Relationship Id="rId151" Type="http://schemas.openxmlformats.org/officeDocument/2006/relationships/hyperlink" Target="https://pubwiki.ru/41408877" TargetMode="External"/><Relationship Id="rId152" Type="http://schemas.openxmlformats.org/officeDocument/2006/relationships/hyperlink" Target="https://pubwiki.ru/36813123" TargetMode="External"/><Relationship Id="rId153" Type="http://schemas.openxmlformats.org/officeDocument/2006/relationships/hyperlink" Target="https://pubwiki.ru/33903032" TargetMode="External"/><Relationship Id="rId154" Type="http://schemas.openxmlformats.org/officeDocument/2006/relationships/hyperlink" Target="https://pubwiki.ru/40938091" TargetMode="External"/><Relationship Id="rId155" Type="http://schemas.openxmlformats.org/officeDocument/2006/relationships/hyperlink" Target="https://pubwiki.ru/40407881" TargetMode="External"/><Relationship Id="rId156" Type="http://schemas.openxmlformats.org/officeDocument/2006/relationships/hyperlink" Target="https://doi.org/10.1136/ijgc-2024-005823" TargetMode="External"/><Relationship Id="rId157" Type="http://schemas.openxmlformats.org/officeDocument/2006/relationships/hyperlink" Target="https://doi.org/10.1007/s00330-026-12705-2" TargetMode="External"/><Relationship Id="rId158" Type="http://schemas.openxmlformats.org/officeDocument/2006/relationships/hyperlink" Target="https://doi.org/10.2214/AJR.24.31280" TargetMode="External"/><Relationship Id="rId159" Type="http://schemas.openxmlformats.org/officeDocument/2006/relationships/hyperlink" Target="https://doi.org/10.1016/j.ejogrb.2022.01.013" TargetMode="External"/><Relationship Id="rId160" Type="http://schemas.openxmlformats.org/officeDocument/2006/relationships/hyperlink" Target="https://doi.org/10.1002/uog.27535" TargetMode="External"/><Relationship Id="rId161" Type="http://schemas.openxmlformats.org/officeDocument/2006/relationships/hyperlink" Target="https://doi.org/10.1148/radiol.2020191658" TargetMode="External"/><Relationship Id="rId162" Type="http://schemas.openxmlformats.org/officeDocument/2006/relationships/hyperlink" Target="https://doi.org/10.1097/RCT.0000000000001656" TargetMode="External"/><Relationship Id="rId163" Type="http://schemas.openxmlformats.org/officeDocument/2006/relationships/hyperlink" Target="https://pubmed.ncbi.nlm.nih.gov/36194109/" TargetMode="External"/><Relationship Id="rId164" Type="http://schemas.openxmlformats.org/officeDocument/2006/relationships/hyperlink" Target="https://pubmed.ncbi.nlm.nih.gov/41678008/" TargetMode="External"/><Relationship Id="rId165" Type="http://schemas.openxmlformats.org/officeDocument/2006/relationships/hyperlink" Target="https://pubmed.ncbi.nlm.nih.gov/38899844/" TargetMode="External"/><Relationship Id="rId166" Type="http://schemas.openxmlformats.org/officeDocument/2006/relationships/hyperlink" Target="https://pubmed.ncbi.nlm.nih.gov/32930650/" TargetMode="External"/><Relationship Id="rId167" Type="http://schemas.openxmlformats.org/officeDocument/2006/relationships/hyperlink" Target="https://pubmed.ncbi.nlm.nih.gov/39379060/" TargetMode="External"/><Relationship Id="rId168" Type="http://schemas.openxmlformats.org/officeDocument/2006/relationships/hyperlink" Target="https://pubmed.ncbi.nlm.nih.gov/37970762/" TargetMode="External"/><Relationship Id="rId169" Type="http://schemas.openxmlformats.org/officeDocument/2006/relationships/hyperlink" Target="https://pubmed.ncbi.nlm.nih.gov/35074691/" TargetMode="External"/><Relationship Id="rId170" Type="http://schemas.openxmlformats.org/officeDocument/2006/relationships/hyperlink" Target="https://pubmed.ncbi.nlm.nih.gov/39322612/" TargetMode="External"/><Relationship Id="rId171" Type="http://schemas.openxmlformats.org/officeDocument/2006/relationships/hyperlink" Target="https://pubmed.ncbi.nlm.nih.gov/42380325/" TargetMode="External"/><Relationship Id="rId172" Type="http://schemas.openxmlformats.org/officeDocument/2006/relationships/hyperlink" Target="https://doi.org/10.1148/radiol.211658" TargetMode="External"/><Relationship Id="rId173" Type="http://schemas.openxmlformats.org/officeDocument/2006/relationships/hyperlink" Target="https://pubwiki.ru/36194109" TargetMode="External"/><Relationship Id="rId174" Type="http://schemas.openxmlformats.org/officeDocument/2006/relationships/hyperlink" Target="https://pubwiki.ru/41678008" TargetMode="External"/><Relationship Id="rId175" Type="http://schemas.openxmlformats.org/officeDocument/2006/relationships/hyperlink" Target="https://pubwiki.ru/38899844" TargetMode="External"/><Relationship Id="rId176" Type="http://schemas.openxmlformats.org/officeDocument/2006/relationships/hyperlink" Target="https://pubwiki.ru/32930650" TargetMode="External"/><Relationship Id="rId177" Type="http://schemas.openxmlformats.org/officeDocument/2006/relationships/hyperlink" Target="https://pubwiki.ru/39379060" TargetMode="External"/><Relationship Id="rId178" Type="http://schemas.openxmlformats.org/officeDocument/2006/relationships/hyperlink" Target="https://pubwiki.ru/37970762" TargetMode="External"/><Relationship Id="rId179" Type="http://schemas.openxmlformats.org/officeDocument/2006/relationships/hyperlink" Target="https://pubwiki.ru/35074691" TargetMode="External"/><Relationship Id="rId180" Type="http://schemas.openxmlformats.org/officeDocument/2006/relationships/hyperlink" Target="https://pubwiki.ru/39322612" TargetMode="External"/><Relationship Id="rId181" Type="http://schemas.openxmlformats.org/officeDocument/2006/relationships/hyperlink" Target="https://pubwiki.ru/42380325" TargetMode="External"/></Relationships>
</file>

<file path=word/_rels/fontTable.xml.rels><?xml version="1.0" encoding="UTF-8" standalone="yes"?>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>
  <Application>Podtema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Бессимптомная миома матки: когда наблюдать и когда обсуждать вмешательство</dc:title>
  <dc:creator>Подтема</dc:creator>
  <dc:language>ru-RU</dc:language>
  <dcterms:created xsi:type="dcterms:W3CDTF">2026-10-09T11:10:42Z</dcterms:created>
  <dcterms:modified xsi:type="dcterms:W3CDTF">2026-10-09T11:10:42Z</dcterms:modified>
</cp:coreProperties>
</file>